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160655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8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111760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9"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2017</w:t>
      </w:r>
    </w:p>
    <w:p>
      <w:pPr>
        <w:sectPr>
          <w:pgSz w:w="11900" w:h="16838" w:orient="portrait"/>
          <w:cols w:equalWidth="0" w:num="1">
            <w:col w:w="11420"/>
          </w:cols>
          <w:pgMar w:left="240" w:top="1099" w:right="239" w:bottom="1440" w:gutter="0" w:footer="0" w:header="0"/>
        </w:sectPr>
      </w:pPr>
    </w:p>
    <w:p>
      <w:pPr>
        <w:spacing w:after="0" w:line="140" w:lineRule="exact"/>
        <w:rPr>
          <w:sz w:val="24"/>
          <w:szCs w:val="24"/>
          <w:color w:val="auto"/>
        </w:rPr>
      </w:pPr>
    </w:p>
    <w:p>
      <w:pPr>
        <w:ind w:left="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p>
      <w:pPr>
        <w:sectPr>
          <w:pgSz w:w="11900" w:h="16838" w:orient="portrait"/>
          <w:cols w:equalWidth="0" w:num="2">
            <w:col w:w="160" w:space="560"/>
            <w:col w:w="10700"/>
          </w:cols>
          <w:pgMar w:left="240" w:top="1099" w:right="239" w:bottom="1440" w:gutter="0" w:footer="0" w:header="0"/>
          <w:type w:val="continuous"/>
        </w:sect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5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Commission file number 1-8400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416" w:lineRule="exact"/>
        <w:rPr>
          <w:sz w:val="24"/>
          <w:szCs w:val="24"/>
          <w:color w:val="auto"/>
        </w:rPr>
      </w:pPr>
    </w:p>
    <w:p>
      <w:pPr>
        <w:sectPr>
          <w:pgSz w:w="11900" w:h="16838" w:orient="portrait"/>
          <w:cols w:equalWidth="0" w:num="2">
            <w:col w:w="6800" w:space="320"/>
            <w:col w:w="4300"/>
          </w:cols>
          <w:pgMar w:left="240" w:top="1099" w:right="239" w:bottom="1440" w:gutter="0" w:footer="0" w:header="0"/>
          <w:type w:val="continuous"/>
        </w:sectPr>
      </w:pP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-156210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93345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980" w:type="dxa"/>
        <w:tblCellMar>
          <w:top w:w="0" w:type="dxa"/>
          <w:left w:w="0" w:type="dxa"/>
          <w:bottom w:w="0" w:type="dxa"/>
          <w:right w:w="0" w:type="dxa"/>
        </w:tblCellMar>
      </w:tblPr>
      <w:tr>
        <w:trPr>
          <w:trHeight w:val="190"/>
        </w:trPr>
        <w:tc>
          <w:tcPr>
            <w:tcW w:w="3500" w:type="dxa"/>
            <w:vAlign w:val="bottom"/>
          </w:tcPr>
          <w:p>
            <w:pPr>
              <w:jc w:val="center"/>
              <w:ind w:right="77"/>
              <w:spacing w:after="0"/>
              <w:rPr>
                <w:sz w:val="20"/>
                <w:szCs w:val="20"/>
                <w:color w:val="auto"/>
              </w:rPr>
            </w:pPr>
            <w:r>
              <w:rPr>
                <w:rFonts w:ascii="Arial" w:cs="Arial" w:eastAsia="Arial" w:hAnsi="Arial"/>
                <w:sz w:val="14"/>
                <w:szCs w:val="14"/>
                <w:b w:val="1"/>
                <w:bCs w:val="1"/>
                <w:color w:val="auto"/>
              </w:rPr>
              <w:t>Delaware</w:t>
            </w:r>
          </w:p>
        </w:tc>
        <w:tc>
          <w:tcPr>
            <w:tcW w:w="5020" w:type="dxa"/>
            <w:vAlign w:val="bottom"/>
          </w:tcPr>
          <w:p>
            <w:pPr>
              <w:jc w:val="right"/>
              <w:ind w:right="815"/>
              <w:spacing w:after="0"/>
              <w:rPr>
                <w:sz w:val="20"/>
                <w:szCs w:val="20"/>
                <w:color w:val="auto"/>
              </w:rPr>
            </w:pPr>
            <w:r>
              <w:rPr>
                <w:rFonts w:ascii="Arial" w:cs="Arial" w:eastAsia="Arial" w:hAnsi="Arial"/>
                <w:sz w:val="14"/>
                <w:szCs w:val="14"/>
                <w:b w:val="1"/>
                <w:bCs w:val="1"/>
                <w:color w:val="auto"/>
              </w:rPr>
              <w:t>75-1825172</w:t>
            </w:r>
          </w:p>
        </w:tc>
      </w:tr>
      <w:tr>
        <w:trPr>
          <w:trHeight w:val="166"/>
        </w:trPr>
        <w:tc>
          <w:tcPr>
            <w:tcW w:w="3500" w:type="dxa"/>
            <w:vAlign w:val="bottom"/>
          </w:tcPr>
          <w:p>
            <w:pPr>
              <w:jc w:val="center"/>
              <w:ind w:right="77"/>
              <w:spacing w:after="0"/>
              <w:rPr>
                <w:sz w:val="20"/>
                <w:szCs w:val="20"/>
                <w:color w:val="auto"/>
              </w:rPr>
            </w:pPr>
            <w:r>
              <w:rPr>
                <w:rFonts w:ascii="Arial" w:cs="Arial" w:eastAsia="Arial" w:hAnsi="Arial"/>
                <w:sz w:val="11"/>
                <w:szCs w:val="11"/>
                <w:color w:val="auto"/>
                <w:w w:val="98"/>
              </w:rPr>
              <w:t>(State or other jurisdiction of incorporation or organization)</w:t>
            </w:r>
          </w:p>
        </w:tc>
        <w:tc>
          <w:tcPr>
            <w:tcW w:w="5020" w:type="dxa"/>
            <w:vAlign w:val="bottom"/>
          </w:tcPr>
          <w:p>
            <w:pPr>
              <w:jc w:val="center"/>
              <w:ind w:left="2415"/>
              <w:spacing w:after="0"/>
              <w:rPr>
                <w:sz w:val="20"/>
                <w:szCs w:val="20"/>
                <w:color w:val="auto"/>
              </w:rPr>
            </w:pPr>
            <w:r>
              <w:rPr>
                <w:rFonts w:ascii="Arial" w:cs="Arial" w:eastAsia="Arial" w:hAnsi="Arial"/>
                <w:sz w:val="11"/>
                <w:szCs w:val="11"/>
                <w:color w:val="auto"/>
                <w:w w:val="98"/>
              </w:rPr>
              <w:t>(I.R.S. Employer Identification No.)</w:t>
            </w:r>
          </w:p>
        </w:tc>
      </w:tr>
      <w:tr>
        <w:trPr>
          <w:trHeight w:val="226"/>
        </w:trPr>
        <w:tc>
          <w:tcPr>
            <w:tcW w:w="3500" w:type="dxa"/>
            <w:vAlign w:val="bottom"/>
          </w:tcPr>
          <w:p>
            <w:pPr>
              <w:jc w:val="center"/>
              <w:ind w:right="77"/>
              <w:spacing w:after="0"/>
              <w:rPr>
                <w:sz w:val="20"/>
                <w:szCs w:val="20"/>
                <w:color w:val="auto"/>
              </w:rPr>
            </w:pPr>
            <w:r>
              <w:rPr>
                <w:rFonts w:ascii="Arial" w:cs="Arial" w:eastAsia="Arial" w:hAnsi="Arial"/>
                <w:sz w:val="14"/>
                <w:szCs w:val="14"/>
                <w:b w:val="1"/>
                <w:bCs w:val="1"/>
                <w:color w:val="auto"/>
              </w:rPr>
              <w:t>4333 Amon Carter Blvd., Fort Worth, Texas 76155</w:t>
            </w:r>
          </w:p>
        </w:tc>
        <w:tc>
          <w:tcPr>
            <w:tcW w:w="5020" w:type="dxa"/>
            <w:vAlign w:val="bottom"/>
          </w:tcPr>
          <w:p>
            <w:pPr>
              <w:jc w:val="right"/>
              <w:ind w:right="715"/>
              <w:spacing w:after="0"/>
              <w:rPr>
                <w:sz w:val="20"/>
                <w:szCs w:val="20"/>
                <w:color w:val="auto"/>
              </w:rPr>
            </w:pPr>
            <w:r>
              <w:rPr>
                <w:rFonts w:ascii="Arial" w:cs="Arial" w:eastAsia="Arial" w:hAnsi="Arial"/>
                <w:sz w:val="14"/>
                <w:szCs w:val="14"/>
                <w:b w:val="1"/>
                <w:bCs w:val="1"/>
                <w:color w:val="auto"/>
              </w:rPr>
              <w:t>(817) 963-1234</w:t>
            </w:r>
          </w:p>
        </w:tc>
      </w:tr>
      <w:tr>
        <w:trPr>
          <w:trHeight w:val="166"/>
        </w:trPr>
        <w:tc>
          <w:tcPr>
            <w:tcW w:w="3500" w:type="dxa"/>
            <w:vAlign w:val="bottom"/>
          </w:tcPr>
          <w:p>
            <w:pPr>
              <w:jc w:val="center"/>
              <w:ind w:right="77"/>
              <w:spacing w:after="0"/>
              <w:rPr>
                <w:sz w:val="20"/>
                <w:szCs w:val="20"/>
                <w:color w:val="auto"/>
              </w:rPr>
            </w:pPr>
            <w:r>
              <w:rPr>
                <w:rFonts w:ascii="Arial" w:cs="Arial" w:eastAsia="Arial" w:hAnsi="Arial"/>
                <w:sz w:val="11"/>
                <w:szCs w:val="11"/>
                <w:color w:val="auto"/>
                <w:w w:val="97"/>
              </w:rPr>
              <w:t>(Address of principal executive offices, including zip code)</w:t>
            </w:r>
          </w:p>
        </w:tc>
        <w:tc>
          <w:tcPr>
            <w:tcW w:w="5020" w:type="dxa"/>
            <w:vAlign w:val="bottom"/>
          </w:tcPr>
          <w:p>
            <w:pPr>
              <w:jc w:val="center"/>
              <w:ind w:left="2415"/>
              <w:spacing w:after="0"/>
              <w:rPr>
                <w:sz w:val="20"/>
                <w:szCs w:val="20"/>
                <w:color w:val="auto"/>
              </w:rPr>
            </w:pPr>
            <w:r>
              <w:rPr>
                <w:rFonts w:ascii="Arial" w:cs="Arial" w:eastAsia="Arial" w:hAnsi="Arial"/>
                <w:sz w:val="11"/>
                <w:szCs w:val="11"/>
                <w:color w:val="auto"/>
                <w:w w:val="98"/>
              </w:rPr>
              <w:t>(Registrant’s telephone number, including area code)</w:t>
            </w:r>
          </w:p>
        </w:tc>
      </w:tr>
      <w:tr>
        <w:trPr>
          <w:trHeight w:val="253"/>
        </w:trPr>
        <w:tc>
          <w:tcPr>
            <w:tcW w:w="350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Arial" w:cs="Arial" w:eastAsia="Arial" w:hAnsi="Arial"/>
                <w:sz w:val="14"/>
                <w:szCs w:val="14"/>
                <w:b w:val="1"/>
                <w:bCs w:val="1"/>
                <w:color w:val="auto"/>
              </w:rPr>
              <w:t>Commission file number 1-2691</w:t>
            </w:r>
          </w:p>
        </w:tc>
      </w:tr>
    </w:tbl>
    <w:p>
      <w:pPr>
        <w:spacing w:after="0" w:line="242" w:lineRule="exact"/>
        <w:rPr>
          <w:sz w:val="24"/>
          <w:szCs w:val="24"/>
          <w:color w:val="auto"/>
        </w:rPr>
      </w:pPr>
    </w:p>
    <w:tbl>
      <w:tblPr>
        <w:tblLayout w:type="fixed"/>
        <w:tblInd w:w="980" w:type="dxa"/>
        <w:tblCellMar>
          <w:top w:w="0" w:type="dxa"/>
          <w:left w:w="0" w:type="dxa"/>
          <w:bottom w:w="0" w:type="dxa"/>
          <w:right w:w="0" w:type="dxa"/>
        </w:tblCellMar>
      </w:tblPr>
      <w:tr>
        <w:trPr>
          <w:trHeight w:val="20"/>
        </w:trPr>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47"/>
        </w:trPr>
        <w:tc>
          <w:tcPr>
            <w:tcW w:w="3440" w:type="dxa"/>
            <w:vAlign w:val="bottom"/>
          </w:tcPr>
          <w:p>
            <w:pPr>
              <w:spacing w:after="0"/>
              <w:rPr>
                <w:sz w:val="21"/>
                <w:szCs w:val="21"/>
                <w:color w:val="auto"/>
              </w:rPr>
            </w:pPr>
          </w:p>
        </w:tc>
        <w:tc>
          <w:tcPr>
            <w:tcW w:w="5080" w:type="dxa"/>
            <w:vAlign w:val="bottom"/>
            <w:gridSpan w:val="3"/>
          </w:tcPr>
          <w:p>
            <w:pPr>
              <w:jc w:val="center"/>
              <w:ind w:right="2446"/>
              <w:spacing w:after="0" w:line="247" w:lineRule="exact"/>
              <w:rPr>
                <w:sz w:val="20"/>
                <w:szCs w:val="20"/>
                <w:color w:val="auto"/>
              </w:rPr>
            </w:pPr>
            <w:r>
              <w:rPr>
                <w:rFonts w:ascii="Arial" w:cs="Arial" w:eastAsia="Arial" w:hAnsi="Arial"/>
                <w:sz w:val="22"/>
                <w:szCs w:val="22"/>
                <w:b w:val="1"/>
                <w:bCs w:val="1"/>
                <w:color w:val="auto"/>
                <w:w w:val="98"/>
              </w:rPr>
              <w:t>American Airlines, Inc.</w:t>
            </w:r>
          </w:p>
        </w:tc>
      </w:tr>
      <w:tr>
        <w:trPr>
          <w:trHeight w:val="130"/>
        </w:trPr>
        <w:tc>
          <w:tcPr>
            <w:tcW w:w="3440" w:type="dxa"/>
            <w:vAlign w:val="bottom"/>
          </w:tcPr>
          <w:p>
            <w:pPr>
              <w:spacing w:after="0"/>
              <w:rPr>
                <w:sz w:val="11"/>
                <w:szCs w:val="11"/>
                <w:color w:val="auto"/>
              </w:rPr>
            </w:pPr>
          </w:p>
        </w:tc>
        <w:tc>
          <w:tcPr>
            <w:tcW w:w="5080" w:type="dxa"/>
            <w:vAlign w:val="bottom"/>
            <w:gridSpan w:val="3"/>
          </w:tcPr>
          <w:p>
            <w:pPr>
              <w:jc w:val="center"/>
              <w:ind w:right="2446"/>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144"/>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2700" w:type="dxa"/>
            <w:vAlign w:val="bottom"/>
          </w:tcPr>
          <w:p>
            <w:pPr>
              <w:spacing w:after="0"/>
              <w:rPr>
                <w:sz w:val="12"/>
                <w:szCs w:val="12"/>
                <w:color w:val="auto"/>
              </w:rPr>
            </w:pPr>
          </w:p>
        </w:tc>
      </w:tr>
      <w:tr>
        <w:trPr>
          <w:trHeight w:val="589"/>
        </w:trPr>
        <w:tc>
          <w:tcPr>
            <w:tcW w:w="3440" w:type="dxa"/>
            <w:vAlign w:val="bottom"/>
          </w:tcPr>
          <w:p>
            <w:pPr>
              <w:jc w:val="center"/>
              <w:ind w:right="17"/>
              <w:spacing w:after="0"/>
              <w:rPr>
                <w:sz w:val="20"/>
                <w:szCs w:val="20"/>
                <w:color w:val="auto"/>
              </w:rPr>
            </w:pPr>
            <w:r>
              <w:rPr>
                <w:rFonts w:ascii="Arial" w:cs="Arial" w:eastAsia="Arial" w:hAnsi="Arial"/>
                <w:sz w:val="14"/>
                <w:szCs w:val="14"/>
                <w:b w:val="1"/>
                <w:bCs w:val="1"/>
                <w:color w:val="auto"/>
              </w:rPr>
              <w:t>Delaware</w:t>
            </w:r>
          </w:p>
        </w:tc>
        <w:tc>
          <w:tcPr>
            <w:tcW w:w="5080" w:type="dxa"/>
            <w:vAlign w:val="bottom"/>
            <w:gridSpan w:val="3"/>
          </w:tcPr>
          <w:p>
            <w:pPr>
              <w:jc w:val="right"/>
              <w:ind w:right="826"/>
              <w:spacing w:after="0"/>
              <w:rPr>
                <w:sz w:val="20"/>
                <w:szCs w:val="20"/>
                <w:color w:val="auto"/>
              </w:rPr>
            </w:pPr>
            <w:r>
              <w:rPr>
                <w:rFonts w:ascii="Arial" w:cs="Arial" w:eastAsia="Arial" w:hAnsi="Arial"/>
                <w:sz w:val="14"/>
                <w:szCs w:val="14"/>
                <w:b w:val="1"/>
                <w:bCs w:val="1"/>
                <w:color w:val="auto"/>
              </w:rPr>
              <w:t>13-1502798</w:t>
            </w:r>
          </w:p>
        </w:tc>
      </w:tr>
      <w:tr>
        <w:trPr>
          <w:trHeight w:val="166"/>
        </w:trPr>
        <w:tc>
          <w:tcPr>
            <w:tcW w:w="3440" w:type="dxa"/>
            <w:vAlign w:val="bottom"/>
          </w:tcPr>
          <w:p>
            <w:pPr>
              <w:jc w:val="center"/>
              <w:ind w:right="17"/>
              <w:spacing w:after="0"/>
              <w:rPr>
                <w:sz w:val="20"/>
                <w:szCs w:val="20"/>
                <w:color w:val="auto"/>
              </w:rPr>
            </w:pPr>
            <w:r>
              <w:rPr>
                <w:rFonts w:ascii="Arial" w:cs="Arial" w:eastAsia="Arial" w:hAnsi="Arial"/>
                <w:sz w:val="11"/>
                <w:szCs w:val="11"/>
                <w:color w:val="auto"/>
                <w:w w:val="98"/>
              </w:rPr>
              <w:t>(State or other jurisdiction of incorporation or organization)</w:t>
            </w: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jc w:val="center"/>
              <w:ind w:left="106"/>
              <w:spacing w:after="0"/>
              <w:rPr>
                <w:sz w:val="20"/>
                <w:szCs w:val="20"/>
                <w:color w:val="auto"/>
              </w:rPr>
            </w:pPr>
            <w:r>
              <w:rPr>
                <w:rFonts w:ascii="Arial" w:cs="Arial" w:eastAsia="Arial" w:hAnsi="Arial"/>
                <w:sz w:val="11"/>
                <w:szCs w:val="11"/>
                <w:color w:val="auto"/>
                <w:w w:val="98"/>
              </w:rPr>
              <w:t>(I.R.S. Employer Identification No.)</w:t>
            </w:r>
          </w:p>
        </w:tc>
      </w:tr>
      <w:tr>
        <w:trPr>
          <w:trHeight w:val="226"/>
        </w:trPr>
        <w:tc>
          <w:tcPr>
            <w:tcW w:w="3440" w:type="dxa"/>
            <w:vAlign w:val="bottom"/>
          </w:tcPr>
          <w:p>
            <w:pPr>
              <w:jc w:val="center"/>
              <w:ind w:right="17"/>
              <w:spacing w:after="0"/>
              <w:rPr>
                <w:sz w:val="20"/>
                <w:szCs w:val="20"/>
                <w:color w:val="auto"/>
              </w:rPr>
            </w:pPr>
            <w:r>
              <w:rPr>
                <w:rFonts w:ascii="Arial" w:cs="Arial" w:eastAsia="Arial" w:hAnsi="Arial"/>
                <w:sz w:val="14"/>
                <w:szCs w:val="14"/>
                <w:b w:val="1"/>
                <w:bCs w:val="1"/>
                <w:color w:val="auto"/>
              </w:rPr>
              <w:t>4333 Amon Carter Blvd., Fort Worth, Texas 76155</w:t>
            </w:r>
          </w:p>
        </w:tc>
        <w:tc>
          <w:tcPr>
            <w:tcW w:w="5080" w:type="dxa"/>
            <w:vAlign w:val="bottom"/>
            <w:gridSpan w:val="3"/>
          </w:tcPr>
          <w:p>
            <w:pPr>
              <w:jc w:val="right"/>
              <w:ind w:right="726"/>
              <w:spacing w:after="0"/>
              <w:rPr>
                <w:sz w:val="20"/>
                <w:szCs w:val="20"/>
                <w:color w:val="auto"/>
              </w:rPr>
            </w:pPr>
            <w:r>
              <w:rPr>
                <w:rFonts w:ascii="Arial" w:cs="Arial" w:eastAsia="Arial" w:hAnsi="Arial"/>
                <w:sz w:val="14"/>
                <w:szCs w:val="14"/>
                <w:b w:val="1"/>
                <w:bCs w:val="1"/>
                <w:color w:val="auto"/>
              </w:rPr>
              <w:t>(817) 963-1234</w:t>
            </w:r>
          </w:p>
        </w:tc>
      </w:tr>
      <w:tr>
        <w:trPr>
          <w:trHeight w:val="166"/>
        </w:trPr>
        <w:tc>
          <w:tcPr>
            <w:tcW w:w="3440" w:type="dxa"/>
            <w:vAlign w:val="bottom"/>
          </w:tcPr>
          <w:p>
            <w:pPr>
              <w:jc w:val="center"/>
              <w:ind w:right="17"/>
              <w:spacing w:after="0"/>
              <w:rPr>
                <w:sz w:val="20"/>
                <w:szCs w:val="20"/>
                <w:color w:val="auto"/>
              </w:rPr>
            </w:pPr>
            <w:r>
              <w:rPr>
                <w:rFonts w:ascii="Arial" w:cs="Arial" w:eastAsia="Arial" w:hAnsi="Arial"/>
                <w:sz w:val="11"/>
                <w:szCs w:val="11"/>
                <w:color w:val="auto"/>
                <w:w w:val="97"/>
              </w:rPr>
              <w:t>(Address of principal executive offices, including zip code)</w:t>
            </w: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jc w:val="center"/>
              <w:ind w:left="106"/>
              <w:spacing w:after="0"/>
              <w:rPr>
                <w:sz w:val="20"/>
                <w:szCs w:val="20"/>
                <w:color w:val="auto"/>
              </w:rPr>
            </w:pPr>
            <w:r>
              <w:rPr>
                <w:rFonts w:ascii="Arial" w:cs="Arial" w:eastAsia="Arial" w:hAnsi="Arial"/>
                <w:sz w:val="11"/>
                <w:szCs w:val="11"/>
                <w:color w:val="auto"/>
                <w:w w:val="98"/>
              </w:rPr>
              <w:t>(Registrant’s telephone number, including area code)</w:t>
            </w:r>
          </w:p>
        </w:tc>
      </w:tr>
    </w:tbl>
    <w:p>
      <w:pPr>
        <w:spacing w:after="0" w:line="73" w:lineRule="exact"/>
        <w:rPr>
          <w:sz w:val="24"/>
          <w:szCs w:val="24"/>
          <w:color w:val="auto"/>
        </w:rPr>
      </w:pPr>
    </w:p>
    <w:p>
      <w:pPr>
        <w:ind w:left="260" w:right="20"/>
        <w:spacing w:after="0" w:line="238"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1099" w:right="239" w:bottom="1440" w:gutter="0" w:footer="0" w:header="0"/>
          <w:type w:val="continuous"/>
        </w:sectPr>
      </w:pPr>
    </w:p>
    <w:p>
      <w:pPr>
        <w:spacing w:after="0" w:line="154"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Group Inc.</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34" w:lineRule="exact"/>
        <w:rPr>
          <w:sz w:val="24"/>
          <w:szCs w:val="24"/>
          <w:color w:val="auto"/>
        </w:rPr>
      </w:pPr>
    </w:p>
    <w:p>
      <w:pPr>
        <w:sectPr>
          <w:pgSz w:w="11900" w:h="16838" w:orient="portrait"/>
          <w:cols w:equalWidth="0" w:num="5">
            <w:col w:w="9140" w:space="720"/>
            <w:col w:w="100" w:space="480"/>
            <w:col w:w="160" w:space="180"/>
            <w:col w:w="80" w:space="400"/>
            <w:col w:w="160"/>
          </w:cols>
          <w:pgMar w:left="240" w:top="1099" w:right="23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Inc.</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88" w:lineRule="exact"/>
        <w:rPr>
          <w:sz w:val="24"/>
          <w:szCs w:val="24"/>
          <w:color w:val="auto"/>
        </w:rPr>
      </w:pPr>
    </w:p>
    <w:p>
      <w:pPr>
        <w:sectPr>
          <w:pgSz w:w="11900" w:h="16838" w:orient="portrait"/>
          <w:cols w:equalWidth="0" w:num="5">
            <w:col w:w="9140" w:space="720"/>
            <w:col w:w="100" w:space="480"/>
            <w:col w:w="160" w:space="180"/>
            <w:col w:w="80" w:space="400"/>
            <w:col w:w="160"/>
          </w:cols>
          <w:pgMar w:left="240" w:top="1099" w:right="239" w:bottom="1440" w:gutter="0" w:footer="0" w:header="0"/>
          <w:type w:val="continuous"/>
        </w:sectPr>
      </w:pPr>
    </w:p>
    <w:p>
      <w:pPr>
        <w:ind w:left="260" w:right="20"/>
        <w:spacing w:after="0" w:line="238"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1099" w:right="239" w:bottom="1440" w:gutter="0" w:footer="0" w:header="0"/>
          <w:type w:val="continuous"/>
        </w:sectPr>
      </w:pPr>
    </w:p>
    <w:p>
      <w:pPr>
        <w:spacing w:after="0" w:line="154"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Group Inc.</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34" w:lineRule="exact"/>
        <w:rPr>
          <w:sz w:val="24"/>
          <w:szCs w:val="24"/>
          <w:color w:val="auto"/>
        </w:rPr>
      </w:pPr>
    </w:p>
    <w:p>
      <w:pPr>
        <w:sectPr>
          <w:pgSz w:w="11900" w:h="16838" w:orient="portrait"/>
          <w:cols w:equalWidth="0" w:num="5">
            <w:col w:w="9140" w:space="720"/>
            <w:col w:w="100" w:space="480"/>
            <w:col w:w="160" w:space="180"/>
            <w:col w:w="80" w:space="400"/>
            <w:col w:w="160"/>
          </w:cols>
          <w:pgMar w:left="240" w:top="1099" w:right="23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Inc.</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88" w:lineRule="exact"/>
        <w:rPr>
          <w:sz w:val="24"/>
          <w:szCs w:val="24"/>
          <w:color w:val="auto"/>
        </w:rPr>
      </w:pPr>
    </w:p>
    <w:p>
      <w:pPr>
        <w:sectPr>
          <w:pgSz w:w="11900" w:h="16838" w:orient="portrait"/>
          <w:cols w:equalWidth="0" w:num="5">
            <w:col w:w="9140" w:space="720"/>
            <w:col w:w="100" w:space="480"/>
            <w:col w:w="160" w:space="180"/>
            <w:col w:w="80" w:space="400"/>
            <w:col w:w="160"/>
          </w:cols>
          <w:pgMar w:left="240" w:top="1099" w:right="239" w:bottom="1440" w:gutter="0" w:footer="0" w:header="0"/>
          <w:type w:val="continuous"/>
        </w:sectPr>
      </w:pPr>
    </w:p>
    <w:p>
      <w:pPr>
        <w:ind w:left="260"/>
        <w:spacing w:after="0" w:line="23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1099" w:right="239" w:bottom="1440" w:gutter="0" w:footer="0" w:header="0"/>
          <w:type w:val="continuous"/>
        </w:sectPr>
      </w:pPr>
    </w:p>
    <w:p>
      <w:pPr>
        <w:spacing w:after="0" w:line="208"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Group Inc.</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Accelerated Filer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w:t>
      </w:r>
    </w:p>
    <w:p>
      <w:pPr>
        <w:spacing w:after="0" w:line="60" w:lineRule="exact"/>
        <w:rPr>
          <w:sz w:val="24"/>
          <w:szCs w:val="24"/>
          <w:color w:val="auto"/>
        </w:rPr>
      </w:pPr>
    </w:p>
    <w:p>
      <w:pPr>
        <w:sectPr>
          <w:pgSz w:w="11900" w:h="16838" w:orient="portrait"/>
          <w:cols w:equalWidth="0" w:num="6">
            <w:col w:w="1420" w:space="340"/>
            <w:col w:w="1240" w:space="580"/>
            <w:col w:w="940" w:space="560"/>
            <w:col w:w="1140" w:space="560"/>
            <w:col w:w="1480" w:space="680"/>
            <w:col w:w="2480"/>
          </w:cols>
          <w:pgMar w:left="240" w:top="1099" w:right="23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0"/>
          <w:szCs w:val="10"/>
          <w:color w:val="auto"/>
        </w:rPr>
        <w:t>American Airlines, Inc.</w:t>
      </w:r>
    </w:p>
    <w:p>
      <w:pPr>
        <w:spacing w:after="0" w:line="20" w:lineRule="exact"/>
        <w:rPr>
          <w:sz w:val="24"/>
          <w:szCs w:val="24"/>
          <w:color w:val="auto"/>
        </w:rPr>
      </w:pPr>
      <w:r>
        <w:rPr>
          <w:sz w:val="24"/>
          <w:szCs w:val="24"/>
          <w:color w:val="auto"/>
        </w:rPr>
        <w:br w:type="column"/>
      </w:r>
    </w:p>
    <w:p>
      <w:pPr>
        <w:jc w:val="cente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Large Accelerated Filer</w:t>
      </w:r>
    </w:p>
    <w:p>
      <w:pPr>
        <w:spacing w:after="0" w:line="20" w:lineRule="exact"/>
        <w:rPr>
          <w:sz w:val="24"/>
          <w:szCs w:val="24"/>
          <w:color w:val="auto"/>
        </w:rPr>
      </w:pPr>
      <w:r>
        <w:rPr>
          <w:sz w:val="24"/>
          <w:szCs w:val="24"/>
          <w:color w:val="auto"/>
        </w:rPr>
        <w:br w:type="column"/>
      </w:r>
    </w:p>
    <w:p>
      <w:pPr>
        <w:jc w:val="cente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Accelerated Filer</w:t>
      </w:r>
    </w:p>
    <w:p>
      <w:pPr>
        <w:spacing w:after="0" w:line="20" w:lineRule="exact"/>
        <w:rPr>
          <w:sz w:val="24"/>
          <w:szCs w:val="24"/>
          <w:color w:val="auto"/>
        </w:rPr>
      </w:pPr>
      <w:r>
        <w:rPr>
          <w:sz w:val="24"/>
          <w:szCs w:val="24"/>
          <w:color w:val="auto"/>
        </w:rPr>
        <w:br w:type="column"/>
      </w:r>
    </w:p>
    <w:p>
      <w:pPr>
        <w:jc w:val="cente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Non-accelerated Filer</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w:t>
      </w:r>
    </w:p>
    <w:p>
      <w:pPr>
        <w:spacing w:after="0" w:line="114" w:lineRule="exact"/>
        <w:rPr>
          <w:sz w:val="24"/>
          <w:szCs w:val="24"/>
          <w:color w:val="auto"/>
        </w:rPr>
      </w:pPr>
    </w:p>
    <w:p>
      <w:pPr>
        <w:sectPr>
          <w:pgSz w:w="11900" w:h="16838" w:orient="portrait"/>
          <w:cols w:equalWidth="0" w:num="6">
            <w:col w:w="1100" w:space="660"/>
            <w:col w:w="1240" w:space="580"/>
            <w:col w:w="940" w:space="560"/>
            <w:col w:w="1140" w:space="560"/>
            <w:col w:w="1480" w:space="680"/>
            <w:col w:w="2480"/>
          </w:cols>
          <w:pgMar w:left="240" w:top="1099" w:right="239" w:bottom="1440" w:gutter="0" w:footer="0" w:header="0"/>
          <w:type w:val="continuous"/>
        </w:sectPr>
      </w:pPr>
    </w:p>
    <w:p>
      <w:pPr>
        <w:ind w:left="260"/>
        <w:spacing w:after="0" w:line="238" w:lineRule="auto"/>
        <w:rPr>
          <w:sz w:val="20"/>
          <w:szCs w:val="20"/>
          <w:color w:val="auto"/>
        </w:rPr>
      </w:pPr>
      <w:r>
        <w:rPr>
          <w:rFonts w:ascii="Arial" w:cs="Arial" w:eastAsia="Arial" w:hAnsi="Arial"/>
          <w:sz w:val="11"/>
          <w:szCs w:val="11"/>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30"/>
        </w:trPr>
        <w:tc>
          <w:tcPr>
            <w:tcW w:w="7720" w:type="dxa"/>
            <w:vAlign w:val="bottom"/>
          </w:tcPr>
          <w:p>
            <w:pPr>
              <w:spacing w:after="0"/>
              <w:rPr>
                <w:sz w:val="20"/>
                <w:szCs w:val="20"/>
                <w:color w:val="auto"/>
              </w:rPr>
            </w:pPr>
            <w:r>
              <w:rPr>
                <w:rFonts w:ascii="Arial" w:cs="Arial" w:eastAsia="Arial" w:hAnsi="Arial"/>
                <w:sz w:val="11"/>
                <w:szCs w:val="11"/>
                <w:color w:val="auto"/>
              </w:rPr>
              <w:t>American Airlines Group Inc.</w:t>
            </w:r>
          </w:p>
        </w:tc>
        <w:tc>
          <w:tcPr>
            <w:tcW w:w="2200" w:type="dxa"/>
            <w:vAlign w:val="bottom"/>
          </w:tcPr>
          <w:p>
            <w:pPr>
              <w:spacing w:after="0"/>
              <w:rPr>
                <w:sz w:val="11"/>
                <w:szCs w:val="11"/>
                <w:color w:val="auto"/>
              </w:rPr>
            </w:pPr>
          </w:p>
        </w:tc>
        <w:tc>
          <w:tcPr>
            <w:tcW w:w="74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7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720" w:type="dxa"/>
            <w:vAlign w:val="bottom"/>
          </w:tcPr>
          <w:p>
            <w:pPr>
              <w:spacing w:after="0"/>
              <w:rPr>
                <w:sz w:val="20"/>
                <w:szCs w:val="20"/>
                <w:color w:val="auto"/>
              </w:rPr>
            </w:pPr>
            <w:r>
              <w:rPr>
                <w:rFonts w:ascii="Arial" w:cs="Arial" w:eastAsia="Arial" w:hAnsi="Arial"/>
                <w:sz w:val="11"/>
                <w:szCs w:val="11"/>
                <w:color w:val="auto"/>
              </w:rPr>
              <w:t>American Airlines, Inc.</w:t>
            </w:r>
          </w:p>
        </w:tc>
        <w:tc>
          <w:tcPr>
            <w:tcW w:w="2200" w:type="dxa"/>
            <w:vAlign w:val="bottom"/>
          </w:tcPr>
          <w:p>
            <w:pPr>
              <w:spacing w:after="0"/>
              <w:rPr>
                <w:sz w:val="14"/>
                <w:szCs w:val="14"/>
                <w:color w:val="auto"/>
              </w:rPr>
            </w:pPr>
          </w:p>
        </w:tc>
        <w:tc>
          <w:tcPr>
            <w:tcW w:w="74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77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2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p>
        </w:tc>
        <w:tc>
          <w:tcPr>
            <w:tcW w:w="2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7720" w:type="dxa"/>
            <w:vAlign w:val="bottom"/>
          </w:tcPr>
          <w:p>
            <w:pPr>
              <w:spacing w:after="0"/>
              <w:rPr>
                <w:sz w:val="20"/>
                <w:szCs w:val="20"/>
                <w:color w:val="auto"/>
              </w:rPr>
            </w:pPr>
            <w:r>
              <w:rPr>
                <w:rFonts w:ascii="Arial" w:cs="Arial" w:eastAsia="Arial" w:hAnsi="Arial"/>
                <w:sz w:val="11"/>
                <w:szCs w:val="11"/>
                <w:color w:val="auto"/>
              </w:rPr>
              <w:t>American Airlines Group Inc.</w:t>
            </w:r>
          </w:p>
        </w:tc>
        <w:tc>
          <w:tcPr>
            <w:tcW w:w="2200" w:type="dxa"/>
            <w:vAlign w:val="bottom"/>
          </w:tcPr>
          <w:p>
            <w:pPr>
              <w:ind w:left="2100"/>
              <w:spacing w:after="0" w:line="111" w:lineRule="exact"/>
              <w:rPr>
                <w:sz w:val="20"/>
                <w:szCs w:val="20"/>
                <w:color w:val="auto"/>
              </w:rPr>
            </w:pPr>
            <w:r>
              <w:rPr>
                <w:rFonts w:ascii="MS PGothic" w:cs="MS PGothic" w:eastAsia="MS PGothic" w:hAnsi="MS PGothic"/>
                <w:sz w:val="11"/>
                <w:szCs w:val="11"/>
                <w:color w:val="auto"/>
                <w:w w:val="72"/>
              </w:rPr>
              <w:t>☐</w:t>
            </w:r>
          </w:p>
        </w:tc>
        <w:tc>
          <w:tcPr>
            <w:tcW w:w="740" w:type="dxa"/>
            <w:vAlign w:val="bottom"/>
          </w:tcPr>
          <w:p>
            <w:pPr>
              <w:ind w:left="480"/>
              <w:spacing w:after="0"/>
              <w:rPr>
                <w:sz w:val="20"/>
                <w:szCs w:val="20"/>
                <w:color w:val="auto"/>
              </w:rPr>
            </w:pPr>
            <w:r>
              <w:rPr>
                <w:rFonts w:ascii="Arial" w:cs="Arial" w:eastAsia="Arial" w:hAnsi="Arial"/>
                <w:sz w:val="11"/>
                <w:szCs w:val="11"/>
                <w:color w:val="auto"/>
              </w:rPr>
              <w:t>Yes</w:t>
            </w:r>
          </w:p>
        </w:tc>
        <w:tc>
          <w:tcPr>
            <w:tcW w:w="36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40" w:type="dxa"/>
            <w:vAlign w:val="bottom"/>
          </w:tcPr>
          <w:p>
            <w:pPr>
              <w:ind w:left="200"/>
              <w:spacing w:after="0"/>
              <w:rPr>
                <w:sz w:val="20"/>
                <w:szCs w:val="20"/>
                <w:color w:val="auto"/>
              </w:rPr>
            </w:pPr>
            <w:r>
              <w:rPr>
                <w:rFonts w:ascii="Arial" w:cs="Arial" w:eastAsia="Arial" w:hAnsi="Arial"/>
                <w:sz w:val="11"/>
                <w:szCs w:val="11"/>
                <w:color w:val="auto"/>
                <w:w w:val="85"/>
              </w:rPr>
              <w:t>No</w:t>
            </w:r>
          </w:p>
        </w:tc>
        <w:tc>
          <w:tcPr>
            <w:tcW w:w="0" w:type="dxa"/>
            <w:vAlign w:val="bottom"/>
          </w:tcPr>
          <w:p>
            <w:pPr>
              <w:spacing w:after="0"/>
              <w:rPr>
                <w:sz w:val="1"/>
                <w:szCs w:val="1"/>
                <w:color w:val="auto"/>
              </w:rPr>
            </w:pPr>
          </w:p>
        </w:tc>
      </w:tr>
      <w:tr>
        <w:trPr>
          <w:trHeight w:val="164"/>
        </w:trPr>
        <w:tc>
          <w:tcPr>
            <w:tcW w:w="7720" w:type="dxa"/>
            <w:vAlign w:val="bottom"/>
          </w:tcPr>
          <w:p>
            <w:pPr>
              <w:spacing w:after="0"/>
              <w:rPr>
                <w:sz w:val="20"/>
                <w:szCs w:val="20"/>
                <w:color w:val="auto"/>
              </w:rPr>
            </w:pPr>
            <w:r>
              <w:rPr>
                <w:rFonts w:ascii="Arial" w:cs="Arial" w:eastAsia="Arial" w:hAnsi="Arial"/>
                <w:sz w:val="11"/>
                <w:szCs w:val="11"/>
                <w:color w:val="auto"/>
              </w:rPr>
              <w:t>American Airlines, Inc.</w:t>
            </w:r>
          </w:p>
        </w:tc>
        <w:tc>
          <w:tcPr>
            <w:tcW w:w="2200" w:type="dxa"/>
            <w:vAlign w:val="bottom"/>
            <w:vMerge w:val="restart"/>
          </w:tcPr>
          <w:p>
            <w:pPr>
              <w:ind w:left="2100"/>
              <w:spacing w:after="0" w:line="111" w:lineRule="exact"/>
              <w:rPr>
                <w:sz w:val="20"/>
                <w:szCs w:val="20"/>
                <w:color w:val="auto"/>
              </w:rPr>
            </w:pPr>
            <w:r>
              <w:rPr>
                <w:rFonts w:ascii="MS PGothic" w:cs="MS PGothic" w:eastAsia="MS PGothic" w:hAnsi="MS PGothic"/>
                <w:sz w:val="11"/>
                <w:szCs w:val="11"/>
                <w:color w:val="auto"/>
                <w:w w:val="72"/>
              </w:rPr>
              <w:t>☐</w:t>
            </w:r>
          </w:p>
        </w:tc>
        <w:tc>
          <w:tcPr>
            <w:tcW w:w="740" w:type="dxa"/>
            <w:vAlign w:val="bottom"/>
            <w:vMerge w:val="restart"/>
          </w:tcPr>
          <w:p>
            <w:pPr>
              <w:ind w:left="480"/>
              <w:spacing w:after="0"/>
              <w:rPr>
                <w:sz w:val="20"/>
                <w:szCs w:val="20"/>
                <w:color w:val="auto"/>
              </w:rPr>
            </w:pPr>
            <w:r>
              <w:rPr>
                <w:rFonts w:ascii="Arial" w:cs="Arial" w:eastAsia="Arial" w:hAnsi="Arial"/>
                <w:sz w:val="11"/>
                <w:szCs w:val="11"/>
                <w:color w:val="auto"/>
              </w:rPr>
              <w:t>Yes</w:t>
            </w:r>
          </w:p>
        </w:tc>
        <w:tc>
          <w:tcPr>
            <w:tcW w:w="36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40" w:type="dxa"/>
            <w:vAlign w:val="bottom"/>
            <w:vMerge w:val="restart"/>
          </w:tcPr>
          <w:p>
            <w:pPr>
              <w:ind w:left="200"/>
              <w:spacing w:after="0"/>
              <w:rPr>
                <w:sz w:val="20"/>
                <w:szCs w:val="20"/>
                <w:color w:val="auto"/>
              </w:rPr>
            </w:pPr>
            <w:r>
              <w:rPr>
                <w:rFonts w:ascii="Arial" w:cs="Arial" w:eastAsia="Arial" w:hAnsi="Arial"/>
                <w:sz w:val="11"/>
                <w:szCs w:val="11"/>
                <w:color w:val="auto"/>
                <w:w w:val="85"/>
              </w:rPr>
              <w:t>No</w:t>
            </w:r>
          </w:p>
        </w:tc>
        <w:tc>
          <w:tcPr>
            <w:tcW w:w="0" w:type="dxa"/>
            <w:vAlign w:val="bottom"/>
          </w:tcPr>
          <w:p>
            <w:pPr>
              <w:spacing w:after="0"/>
              <w:rPr>
                <w:sz w:val="1"/>
                <w:szCs w:val="1"/>
                <w:color w:val="auto"/>
              </w:rPr>
            </w:pPr>
          </w:p>
        </w:tc>
      </w:tr>
      <w:tr>
        <w:trPr>
          <w:trHeight w:val="107"/>
        </w:trPr>
        <w:tc>
          <w:tcPr>
            <w:tcW w:w="772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260" w:right="20"/>
        <w:spacing w:after="0" w:line="238" w:lineRule="auto"/>
        <w:rPr>
          <w:sz w:val="20"/>
          <w:szCs w:val="20"/>
          <w:color w:val="auto"/>
        </w:rPr>
      </w:pPr>
      <w:r>
        <w:rPr>
          <w:rFonts w:ascii="Arial" w:cs="Arial" w:eastAsia="Arial" w:hAnsi="Arial"/>
          <w:sz w:val="11"/>
          <w:szCs w:val="11"/>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8680" w:type="dxa"/>
            <w:vAlign w:val="bottom"/>
          </w:tcPr>
          <w:p>
            <w:pPr>
              <w:ind w:left="40"/>
              <w:spacing w:after="0"/>
              <w:rPr>
                <w:sz w:val="20"/>
                <w:szCs w:val="20"/>
                <w:color w:val="auto"/>
              </w:rPr>
            </w:pPr>
            <w:r>
              <w:rPr>
                <w:rFonts w:ascii="Arial" w:cs="Arial" w:eastAsia="Arial" w:hAnsi="Arial"/>
                <w:sz w:val="11"/>
                <w:szCs w:val="11"/>
                <w:color w:val="auto"/>
              </w:rPr>
              <w:t>American Airlines Group Inc.</w:t>
            </w:r>
          </w:p>
        </w:tc>
        <w:tc>
          <w:tcPr>
            <w:tcW w:w="152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rPr>
              <w:t>☒</w:t>
            </w:r>
          </w:p>
        </w:tc>
        <w:tc>
          <w:tcPr>
            <w:tcW w:w="500" w:type="dxa"/>
            <w:vAlign w:val="bottom"/>
          </w:tcPr>
          <w:p>
            <w:pPr>
              <w:ind w:left="240"/>
              <w:spacing w:after="0"/>
              <w:rPr>
                <w:sz w:val="20"/>
                <w:szCs w:val="20"/>
                <w:color w:val="auto"/>
              </w:rPr>
            </w:pPr>
            <w:r>
              <w:rPr>
                <w:rFonts w:ascii="Arial" w:cs="Arial" w:eastAsia="Arial" w:hAnsi="Arial"/>
                <w:sz w:val="11"/>
                <w:szCs w:val="11"/>
                <w:color w:val="auto"/>
              </w:rPr>
              <w:t>Yes</w:t>
            </w:r>
          </w:p>
        </w:tc>
        <w:tc>
          <w:tcPr>
            <w:tcW w:w="36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ind w:left="200"/>
              <w:spacing w:after="0"/>
              <w:rPr>
                <w:sz w:val="20"/>
                <w:szCs w:val="20"/>
                <w:color w:val="auto"/>
              </w:rPr>
            </w:pPr>
            <w:r>
              <w:rPr>
                <w:rFonts w:ascii="Arial" w:cs="Arial" w:eastAsia="Arial" w:hAnsi="Arial"/>
                <w:sz w:val="11"/>
                <w:szCs w:val="11"/>
                <w:color w:val="auto"/>
                <w:w w:val="99"/>
              </w:rPr>
              <w:t>No</w:t>
            </w:r>
          </w:p>
        </w:tc>
      </w:tr>
      <w:tr>
        <w:trPr>
          <w:trHeight w:val="176"/>
        </w:trPr>
        <w:tc>
          <w:tcPr>
            <w:tcW w:w="8680" w:type="dxa"/>
            <w:vAlign w:val="bottom"/>
          </w:tcPr>
          <w:p>
            <w:pPr>
              <w:ind w:left="40"/>
              <w:spacing w:after="0"/>
              <w:rPr>
                <w:sz w:val="20"/>
                <w:szCs w:val="20"/>
                <w:color w:val="auto"/>
              </w:rPr>
            </w:pPr>
            <w:r>
              <w:rPr>
                <w:rFonts w:ascii="Arial" w:cs="Arial" w:eastAsia="Arial" w:hAnsi="Arial"/>
                <w:sz w:val="11"/>
                <w:szCs w:val="11"/>
                <w:color w:val="auto"/>
              </w:rPr>
              <w:t>American Airlines, Inc.</w:t>
            </w:r>
          </w:p>
        </w:tc>
        <w:tc>
          <w:tcPr>
            <w:tcW w:w="152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rPr>
              <w:t>☒</w:t>
            </w:r>
          </w:p>
        </w:tc>
        <w:tc>
          <w:tcPr>
            <w:tcW w:w="500" w:type="dxa"/>
            <w:vAlign w:val="bottom"/>
          </w:tcPr>
          <w:p>
            <w:pPr>
              <w:ind w:left="240"/>
              <w:spacing w:after="0"/>
              <w:rPr>
                <w:sz w:val="20"/>
                <w:szCs w:val="20"/>
                <w:color w:val="auto"/>
              </w:rPr>
            </w:pPr>
            <w:r>
              <w:rPr>
                <w:rFonts w:ascii="Arial" w:cs="Arial" w:eastAsia="Arial" w:hAnsi="Arial"/>
                <w:sz w:val="11"/>
                <w:szCs w:val="11"/>
                <w:color w:val="auto"/>
              </w:rPr>
              <w:t>Yes</w:t>
            </w:r>
          </w:p>
        </w:tc>
        <w:tc>
          <w:tcPr>
            <w:tcW w:w="36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60" w:type="dxa"/>
            <w:vAlign w:val="bottom"/>
          </w:tcPr>
          <w:p>
            <w:pPr>
              <w:ind w:left="200"/>
              <w:spacing w:after="0"/>
              <w:rPr>
                <w:sz w:val="20"/>
                <w:szCs w:val="20"/>
                <w:color w:val="auto"/>
              </w:rPr>
            </w:pPr>
            <w:r>
              <w:rPr>
                <w:rFonts w:ascii="Arial" w:cs="Arial" w:eastAsia="Arial" w:hAnsi="Arial"/>
                <w:sz w:val="11"/>
                <w:szCs w:val="11"/>
                <w:color w:val="auto"/>
                <w:w w:val="99"/>
              </w:rPr>
              <w:t>No</w:t>
            </w:r>
          </w:p>
        </w:tc>
      </w:tr>
      <w:tr>
        <w:trPr>
          <w:trHeight w:val="191"/>
        </w:trPr>
        <w:tc>
          <w:tcPr>
            <w:tcW w:w="8680" w:type="dxa"/>
            <w:vAlign w:val="bottom"/>
          </w:tcPr>
          <w:p>
            <w:pPr>
              <w:spacing w:after="0"/>
              <w:rPr>
                <w:sz w:val="20"/>
                <w:szCs w:val="20"/>
                <w:color w:val="auto"/>
              </w:rPr>
            </w:pPr>
            <w:r>
              <w:rPr>
                <w:rFonts w:ascii="Arial" w:cs="Arial" w:eastAsia="Arial" w:hAnsi="Arial"/>
                <w:sz w:val="11"/>
                <w:szCs w:val="11"/>
                <w:color w:val="auto"/>
              </w:rPr>
              <w:t>As of October 20, 2017, there were 478,499,073 shares of American Airlines Group Inc. common stock outstanding.</w:t>
            </w:r>
          </w:p>
        </w:tc>
        <w:tc>
          <w:tcPr>
            <w:tcW w:w="1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1"/>
                <w:szCs w:val="11"/>
                <w:color w:val="auto"/>
              </w:rPr>
              <w:t>As of October 20, 2017, there were 1,000 shares of American Airlines, Inc. common stock outstanding, all of which were held by American Airlines Group Inc.</w:t>
            </w: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0"/>
        </w:trPr>
        <w:tc>
          <w:tcPr>
            <w:tcW w:w="8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099"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Period Ended September 30, 2017</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26035</wp:posOffset>
            </wp:positionV>
            <wp:extent cx="360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ectPr>
          <w:pgSz w:w="11900" w:h="16838" w:orient="portrait"/>
          <w:cols w:equalWidth="0" w:num="1">
            <w:col w:w="11360"/>
          </w:cols>
          <w:pgMar w:left="280" w:top="576" w:right="259" w:bottom="1440" w:gutter="0" w:footer="0" w:header="0"/>
        </w:sectPr>
      </w:pPr>
    </w:p>
    <w:p>
      <w:pPr>
        <w:spacing w:after="0" w:line="72"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5">
        <w:r>
          <w:rPr>
            <w:rFonts w:ascii="Arial" w:cs="Arial" w:eastAsia="Arial" w:hAnsi="Arial"/>
            <w:sz w:val="17"/>
            <w:szCs w:val="17"/>
            <w:u w:val="single" w:color="auto"/>
            <w:color w:val="0000EE"/>
          </w:rPr>
          <w:t>Condensed Consolidated Financial Statements of American Airlines Group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1B.</w:t>
      </w:r>
      <w:r>
        <w:rPr>
          <w:sz w:val="20"/>
          <w:szCs w:val="20"/>
          <w:color w:val="auto"/>
        </w:rPr>
        <w:tab/>
      </w:r>
      <w:hyperlink w:anchor="page21">
        <w:r>
          <w:rPr>
            <w:rFonts w:ascii="Arial" w:cs="Arial" w:eastAsia="Arial" w:hAnsi="Arial"/>
            <w:sz w:val="17"/>
            <w:szCs w:val="17"/>
            <w:u w:val="single" w:color="auto"/>
            <w:color w:val="0000EE"/>
          </w:rPr>
          <w:t>Condensed Consolidated Financial Statements of American Airlines,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36">
        <w:r>
          <w:rPr>
            <w:rFonts w:ascii="Arial" w:cs="Arial" w:eastAsia="Arial" w:hAnsi="Arial"/>
            <w:sz w:val="17"/>
            <w:szCs w:val="17"/>
            <w:u w:val="single" w:color="auto"/>
            <w:color w:val="0000EE"/>
          </w:rPr>
          <w:t>Management’s Discussion and Analysis of Financial Condition and Results of Operations</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61">
        <w:r>
          <w:rPr>
            <w:rFonts w:ascii="Arial" w:cs="Arial" w:eastAsia="Arial" w:hAnsi="Arial"/>
            <w:sz w:val="17"/>
            <w:szCs w:val="17"/>
            <w:u w:val="single" w:color="auto"/>
            <w:color w:val="0000EE"/>
          </w:rPr>
          <w:t>Quantitative and Qualitative Disclosures About Market Risk</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61">
        <w:r>
          <w:rPr>
            <w:rFonts w:ascii="Arial" w:cs="Arial" w:eastAsia="Arial" w:hAnsi="Arial"/>
            <w:sz w:val="17"/>
            <w:szCs w:val="17"/>
            <w:u w:val="single" w:color="auto"/>
            <w:color w:val="0000EE"/>
          </w:rPr>
          <w:t>Controls and Procedures</w:t>
        </w:r>
      </w:hyperlink>
    </w:p>
    <w:p>
      <w:pPr>
        <w:spacing w:after="0" w:line="28"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0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4</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4</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5</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6</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7</w:t>
        </w:r>
      </w:hyperlink>
    </w:p>
    <w:p>
      <w:pPr>
        <w:spacing w:after="0" w:line="75" w:lineRule="exact"/>
        <w:rPr>
          <w:sz w:val="20"/>
          <w:szCs w:val="20"/>
          <w:color w:val="auto"/>
        </w:rPr>
      </w:pPr>
    </w:p>
    <w:p>
      <w:pPr>
        <w:ind w:left="100"/>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8</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20</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20</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21</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22</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23</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24</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35</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60</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60</w:t>
        </w:r>
      </w:hyperlink>
    </w:p>
    <w:p>
      <w:pPr>
        <w:spacing w:after="0" w:line="287" w:lineRule="exact"/>
        <w:rPr>
          <w:sz w:val="20"/>
          <w:szCs w:val="20"/>
          <w:color w:val="auto"/>
        </w:rPr>
      </w:pPr>
    </w:p>
    <w:p>
      <w:pPr>
        <w:sectPr>
          <w:pgSz w:w="11900" w:h="16838" w:orient="portrait"/>
          <w:cols w:equalWidth="0" w:num="2">
            <w:col w:w="10440" w:space="720"/>
            <w:col w:w="200"/>
          </w:cols>
          <w:pgMar w:left="280" w:top="576"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200" w:type="dxa"/>
            <w:vAlign w:val="bottom"/>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64">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20"/>
                <w:szCs w:val="20"/>
                <w:color w:val="auto"/>
              </w:rPr>
            </w:pPr>
          </w:p>
        </w:tc>
        <w:tc>
          <w:tcPr>
            <w:tcW w:w="7960" w:type="dxa"/>
            <w:vAlign w:val="bottom"/>
            <w:gridSpan w:val="2"/>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200" w:type="dxa"/>
            <w:vAlign w:val="bottom"/>
          </w:tcPr>
          <w:p>
            <w:pPr>
              <w:jc w:val="right"/>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46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r>
      <w:tr>
        <w:trPr>
          <w:trHeight w:val="237"/>
        </w:trPr>
        <w:tc>
          <w:tcPr>
            <w:tcW w:w="1720" w:type="dxa"/>
            <w:vAlign w:val="bottom"/>
            <w:gridSpan w:val="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r>
      <w:tr>
        <w:trPr>
          <w:trHeight w:val="709"/>
        </w:trPr>
        <w:tc>
          <w:tcPr>
            <w:tcW w:w="1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gridSpan w:val="4"/>
          </w:tcPr>
          <w:p>
            <w:pPr>
              <w:ind w:left="3900"/>
              <w:spacing w:after="0"/>
              <w:rPr>
                <w:sz w:val="20"/>
                <w:szCs w:val="20"/>
                <w:color w:val="auto"/>
              </w:rPr>
            </w:pPr>
            <w:r>
              <w:rPr>
                <w:rFonts w:ascii="Arial" w:cs="Arial" w:eastAsia="Arial" w:hAnsi="Arial"/>
                <w:sz w:val="18"/>
                <w:szCs w:val="18"/>
                <w:color w:val="auto"/>
              </w:rPr>
              <w:t>1</w:t>
            </w:r>
          </w:p>
        </w:tc>
        <w:tc>
          <w:tcPr>
            <w:tcW w:w="46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76" w:right="259" w:bottom="1440" w:gutter="0" w:footer="0" w:header="0"/>
          <w:type w:val="continuous"/>
        </w:sectPr>
      </w:pPr>
    </w:p>
    <w:bookmarkStart w:id="2" w:name="page3"/>
    <w:bookmarkEnd w:id="2"/>
    <w:p>
      <w:pPr>
        <w:jc w:val="both"/>
        <w:ind w:firstLine="216"/>
        <w:spacing w:after="0" w:line="252" w:lineRule="auto"/>
        <w:rPr>
          <w:sz w:val="20"/>
          <w:szCs w:val="20"/>
          <w:color w:val="auto"/>
        </w:rPr>
      </w:pPr>
      <w:r>
        <w:rPr>
          <w:rFonts w:ascii="Arial" w:cs="Arial" w:eastAsia="Arial" w:hAnsi="Arial"/>
          <w:sz w:val="18"/>
          <w:szCs w:val="18"/>
          <w:color w:val="auto"/>
        </w:rPr>
        <w:t>This combined Quarterly Report on Form 10-Q is filed by American Airlines Group Inc. (formerly named AMR Corporation) (AAG) and its wholly-owned subsidiary American Airlines, Inc. (American). References in this Quarterly Report on Form 10 -Q to “we,” “us,” “our,” the “Company” and similar terms refer to AAG and its consolidated subsidiaries. “AMR” or “AMR Corporation” refers to the Company during the period of time prior to its emergence from Chapter 11 and its acquisition of US Airways Group, Inc. (US Airways Group) on December 9, 2013 (the Merger). References to “US Airways Group” and “US Airways,” a subsidiary of US Airways Group, represent the entities during the period of time prior to AAG’s internal corporate restructuring on December 30, 2015. References in this Quarterly Report on Form 10-Q to “mainline” refer to the operations of American only and exclude regional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and Part II, Item 1A. Risk Factors, and other risks and uncertainties listed from time to time in our filings with the Securities and Exchange Commission (the SEC).</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39"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ITEM 1A. CONDENSED CONSOLIDATED FINANCIAL STATEMENTS OF AMERICAN AIRLINES GROUP INC.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 millions, except shares and per share amounts)(Unaudited)</w:t>
      </w:r>
    </w:p>
    <w:p>
      <w:pPr>
        <w:sectPr>
          <w:pgSz w:w="11900" w:h="16838" w:orient="portrait"/>
          <w:cols w:equalWidth="0" w:num="1">
            <w:col w:w="11420"/>
          </w:cols>
          <w:pgMar w:left="240" w:top="576" w:right="239" w:bottom="1440" w:gutter="0" w:footer="0" w:header="0"/>
        </w:sectPr>
      </w:pPr>
    </w:p>
    <w:p>
      <w:pPr>
        <w:spacing w:after="0" w:line="375"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26035</wp:posOffset>
            </wp:positionV>
            <wp:extent cx="1680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500"/>
        <w:spacing w:after="0"/>
        <w:tabs>
          <w:tab w:leader="none" w:pos="78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26035</wp:posOffset>
            </wp:positionV>
            <wp:extent cx="1680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320"/>
        <w:spacing w:after="0"/>
        <w:tabs>
          <w:tab w:leader="none" w:pos="16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45" w:lineRule="exact"/>
        <w:rPr>
          <w:sz w:val="20"/>
          <w:szCs w:val="20"/>
          <w:color w:val="auto"/>
        </w:rPr>
      </w:pPr>
    </w:p>
    <w:p>
      <w:pPr>
        <w:sectPr>
          <w:pgSz w:w="11900" w:h="16838" w:orient="portrait"/>
          <w:cols w:equalWidth="0" w:num="2">
            <w:col w:w="8580" w:space="340"/>
            <w:col w:w="2500"/>
          </w:cols>
          <w:pgMar w:left="240" w:top="576"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ind w:left="380"/>
              <w:spacing w:after="0"/>
              <w:rPr>
                <w:sz w:val="20"/>
                <w:szCs w:val="20"/>
                <w:color w:val="auto"/>
              </w:rPr>
            </w:pPr>
            <w:r>
              <w:rPr>
                <w:rFonts w:ascii="Arial" w:cs="Arial" w:eastAsia="Arial" w:hAnsi="Arial"/>
                <w:sz w:val="18"/>
                <w:szCs w:val="18"/>
                <w:color w:val="auto"/>
              </w:rPr>
              <w:t>Mainline 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7,628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7,419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21,981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21,192</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passenger</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5,040</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3,924</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3,653</w:t>
            </w:r>
          </w:p>
        </w:tc>
      </w:tr>
      <w:tr>
        <w:trPr>
          <w:trHeight w:val="243"/>
        </w:trPr>
        <w:tc>
          <w:tcPr>
            <w:tcW w:w="6020" w:type="dxa"/>
            <w:vAlign w:val="bottom"/>
          </w:tcPr>
          <w:p>
            <w:pPr>
              <w:ind w:left="72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31,606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30,391</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3,736</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Salaries, wages and benefits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8,094</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4,488</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990</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3,386</w:t>
            </w:r>
          </w:p>
        </w:tc>
      </w:tr>
      <w:tr>
        <w:trPr>
          <w:trHeight w:val="244"/>
        </w:trPr>
        <w:tc>
          <w:tcPr>
            <w:tcW w:w="6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9,163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28,238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25,874</w:t>
            </w: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4"/>
        </w:trPr>
        <w:tc>
          <w:tcPr>
            <w:tcW w:w="6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nonoperating expense, net</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r>
      <w:tr>
        <w:trPr>
          <w:trHeight w:val="264"/>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1,412</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2,387</w:t>
            </w: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6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484,772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525,415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493,164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564,886</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486,625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528,510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495,796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568,679</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52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65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2"/>
              </w:rPr>
              <w:t>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5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74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624</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2,387</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net of tax:</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650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7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57"/>
        </w:trPr>
        <w:tc>
          <w:tcPr>
            <w:tcW w:w="65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74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4"/>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74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609</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2,341</w:t>
            </w:r>
          </w:p>
        </w:tc>
      </w:tr>
      <w:tr>
        <w:trPr>
          <w:trHeight w:val="20"/>
        </w:trPr>
        <w:tc>
          <w:tcPr>
            <w:tcW w:w="6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6,037</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 and short-term investments</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1,594</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spare parts and supplies, net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64"/>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r>
      <w:tr>
        <w:trPr>
          <w:trHeight w:val="257"/>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10,324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Operating property and equipment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Flight equipment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39,545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37,028</w:t>
            </w: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Ground property and equipment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7,902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7,116</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Equipment purchase deposits</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r>
      <w:tr>
        <w:trPr>
          <w:trHeight w:val="243"/>
        </w:trPr>
        <w:tc>
          <w:tcPr>
            <w:tcW w:w="7540" w:type="dxa"/>
            <w:vAlign w:val="bottom"/>
          </w:tcPr>
          <w:p>
            <w:pPr>
              <w:ind w:left="720"/>
              <w:spacing w:after="0"/>
              <w:rPr>
                <w:sz w:val="20"/>
                <w:szCs w:val="20"/>
                <w:color w:val="auto"/>
              </w:rPr>
            </w:pPr>
            <w:r>
              <w:rPr>
                <w:rFonts w:ascii="Arial" w:cs="Arial" w:eastAsia="Arial" w:hAnsi="Arial"/>
                <w:sz w:val="18"/>
                <w:szCs w:val="18"/>
                <w:color w:val="auto"/>
              </w:rPr>
              <w:t>Total property and equipment, at cost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48,727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45,353</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r>
      <w:tr>
        <w:trPr>
          <w:trHeight w:val="243"/>
        </w:trPr>
        <w:tc>
          <w:tcPr>
            <w:tcW w:w="7540" w:type="dxa"/>
            <w:vAlign w:val="bottom"/>
          </w:tcPr>
          <w:p>
            <w:pPr>
              <w:ind w:left="72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33,311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31,159</w:t>
            </w: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4,091</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Intangibles, net of accumulated amortization of $612 and $578, respectively</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1,498</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r>
      <w:tr>
        <w:trPr>
          <w:trHeight w:val="244"/>
        </w:trPr>
        <w:tc>
          <w:tcPr>
            <w:tcW w:w="75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9,088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9,791</w:t>
            </w:r>
          </w:p>
        </w:tc>
      </w:tr>
      <w:tr>
        <w:trPr>
          <w:trHeight w:val="290"/>
        </w:trPr>
        <w:tc>
          <w:tcPr>
            <w:tcW w:w="754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52,401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51,274</w:t>
            </w:r>
          </w:p>
        </w:tc>
      </w:tr>
      <w:tr>
        <w:trPr>
          <w:trHeight w:val="109"/>
        </w:trPr>
        <w:tc>
          <w:tcPr>
            <w:tcW w:w="75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40" w:type="dxa"/>
            <w:vAlign w:val="bottom"/>
            <w:tcBorders>
              <w:top w:val="single" w:sz="8" w:color="auto"/>
            </w:tcBorders>
            <w:shd w:val="clear" w:color="auto" w:fill="CCEEFF"/>
          </w:tcPr>
          <w:p>
            <w:pPr>
              <w:spacing w:after="0"/>
              <w:rPr>
                <w:sz w:val="9"/>
                <w:szCs w:val="9"/>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Current maturities of long-term debt and capital leases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1,855</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1,592</w:t>
            </w: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Accrued salaries and wages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1,516</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 traffic liability</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Loyalty program liability</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2,789</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2,208</w:t>
            </w:r>
          </w:p>
        </w:tc>
      </w:tr>
      <w:tr>
        <w:trPr>
          <w:trHeight w:val="243"/>
        </w:trPr>
        <w:tc>
          <w:tcPr>
            <w:tcW w:w="75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15,307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13,872</w:t>
            </w: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Long-term debt and capital leases, net of current maturities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22,217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22,489</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7,842</w:t>
            </w:r>
          </w:p>
        </w:tc>
      </w:tr>
      <w:tr>
        <w:trPr>
          <w:trHeight w:val="264"/>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3,462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3,286</w:t>
            </w:r>
          </w:p>
        </w:tc>
      </w:tr>
      <w:tr>
        <w:trPr>
          <w:trHeight w:val="257"/>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33,146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33,617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9"/>
        </w:trPr>
        <w:tc>
          <w:tcPr>
            <w:tcW w:w="7540" w:type="dxa"/>
            <w:vAlign w:val="bottom"/>
          </w:tcPr>
          <w:p>
            <w:pPr>
              <w:ind w:left="380"/>
              <w:spacing w:after="0"/>
              <w:rPr>
                <w:sz w:val="20"/>
                <w:szCs w:val="20"/>
                <w:color w:val="auto"/>
              </w:rPr>
            </w:pPr>
            <w:r>
              <w:rPr>
                <w:rFonts w:ascii="Arial" w:cs="Arial" w:eastAsia="Arial" w:hAnsi="Arial"/>
                <w:sz w:val="18"/>
                <w:szCs w:val="18"/>
                <w:color w:val="auto"/>
              </w:rPr>
              <w:t>Common stock, $0.01 par value; 1,750,000,000 shares authorized, 479,999,894 shares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3"/>
        </w:trPr>
        <w:tc>
          <w:tcPr>
            <w:tcW w:w="7540" w:type="dxa"/>
            <w:vAlign w:val="bottom"/>
          </w:tcPr>
          <w:p>
            <w:pPr>
              <w:ind w:left="380"/>
              <w:spacing w:after="0" w:line="202" w:lineRule="exact"/>
              <w:rPr>
                <w:sz w:val="20"/>
                <w:szCs w:val="20"/>
                <w:color w:val="auto"/>
              </w:rPr>
            </w:pPr>
            <w:r>
              <w:rPr>
                <w:rFonts w:ascii="Arial" w:cs="Arial" w:eastAsia="Arial" w:hAnsi="Arial"/>
                <w:sz w:val="18"/>
                <w:szCs w:val="18"/>
                <w:color w:val="auto"/>
              </w:rPr>
              <w:t>issued and outstanding at September 30, 2017; 507,294,153 shares issued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4"/>
        </w:trPr>
        <w:tc>
          <w:tcPr>
            <w:tcW w:w="7540" w:type="dxa"/>
            <w:vAlign w:val="bottom"/>
          </w:tcPr>
          <w:p>
            <w:pPr>
              <w:ind w:left="380"/>
              <w:spacing w:after="0"/>
              <w:rPr>
                <w:sz w:val="20"/>
                <w:szCs w:val="20"/>
                <w:color w:val="auto"/>
              </w:rPr>
            </w:pPr>
            <w:r>
              <w:rPr>
                <w:rFonts w:ascii="Arial" w:cs="Arial" w:eastAsia="Arial" w:hAnsi="Arial"/>
                <w:sz w:val="18"/>
                <w:szCs w:val="18"/>
                <w:color w:val="auto"/>
              </w:rPr>
              <w:t>outstanding at December 31, 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7,223</w:t>
            </w:r>
          </w:p>
        </w:tc>
      </w:tr>
      <w:tr>
        <w:trPr>
          <w:trHeight w:val="263"/>
        </w:trPr>
        <w:tc>
          <w:tcPr>
            <w:tcW w:w="75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(5,083)</w:t>
            </w:r>
          </w:p>
        </w:tc>
      </w:tr>
      <w:tr>
        <w:trPr>
          <w:trHeight w:val="27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r>
      <w:tr>
        <w:trPr>
          <w:trHeight w:val="244"/>
        </w:trPr>
        <w:tc>
          <w:tcPr>
            <w:tcW w:w="75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3,948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3,785</w:t>
            </w:r>
          </w:p>
        </w:tc>
      </w:tr>
      <w:tr>
        <w:trPr>
          <w:trHeight w:val="250"/>
        </w:trPr>
        <w:tc>
          <w:tcPr>
            <w:tcW w:w="754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52,401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51,274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6" w:right="239" w:bottom="8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8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354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5,897</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(5,078)</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4,587</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Purchase of equity investment</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 restricted cash and short-term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6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r>
      <w:tr>
        <w:trPr>
          <w:trHeight w:val="25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5,392</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Payments on long-term debt and capital leases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(2,534)</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Treasury stock repurchases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 payments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6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financing activities</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r>
      <w:tr>
        <w:trPr>
          <w:trHeight w:val="25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at beginning of period</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r>
      <w:tr>
        <w:trPr>
          <w:trHeight w:val="28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at end of period</w:t>
            </w:r>
          </w:p>
        </w:tc>
        <w:tc>
          <w:tcPr>
            <w:tcW w:w="106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w:t>
            </w:r>
          </w:p>
        </w:tc>
      </w:tr>
      <w:tr>
        <w:trPr>
          <w:trHeight w:val="271"/>
        </w:trPr>
        <w:tc>
          <w:tcPr>
            <w:tcW w:w="78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r>
      <w:tr>
        <w:trPr>
          <w:trHeight w:val="257"/>
        </w:trPr>
        <w:tc>
          <w:tcPr>
            <w:tcW w:w="7880" w:type="dxa"/>
            <w:vAlign w:val="bottom"/>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sectPr>
      </w:pPr>
    </w:p>
    <w:bookmarkStart w:id="8" w:name="page9"/>
    <w:bookmarkEnd w:id="8"/>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2016.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Inc. (US Airways), a wholly-owned subsidiary of US Airways Group, merged with and into American, with American as the surviving corporation.</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 Certain prior period amounts have been reclassified to conform to the current year presentation.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Revenue</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The new revenue standard applies to all companies that enter into contracts with customers to transfer goods or services and is effective for public entities for interim and annual reporting periods beginning after December 15, 2017. We will adopt the new revenue standard effective January 1, 2018. Entities have the choice to apply the new revenue standard either retrospectively to each reporting period presented or by recognizing the cumulative effect of applying the new revenue standard at the date of initial application and not adjusting comparative information. We will adopt the new revenue standard using the full retrospective method.</w:t>
      </w:r>
    </w:p>
    <w:p>
      <w:pPr>
        <w:spacing w:after="0" w:line="15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in the process of finalizing how the application of the new revenue standard will impact our condensed consolidated financial statements. We currently expect that the new revenue standard will materially impact our liability for outstanding mileage credits earned by AAdvantage loyalty program members. We currently use the incremental cost method to account for this portion of our loyalty program liability, which values these mileage credits based on the estimated incremental cost of carrying one additional passenger. The new revenue standard will require us to change our policy and apply a relative selling price approach whereby a portion of each passenger ticket sale attributable to mileage credits earned will be deferred and recognized in passenger revenue upon future mileage redemption. The carrying value of the earned mileage credits recognized in loyalty program liability is expected to be materially greater under the relative selling price approach than the value attributed to these mileage credits under the incremental cost method. The new revenue standard will also require us to reclassify certain ancillary fees to passenger revenue, which are currently included within other operating revenue. See Part I, Item 2. Management’s Discussion and Analysis of Financial Condition and Results of Operations -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for our preliminary assessment of the quantitative impacts of the new revenue standard on our consolidated financial statements.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Leases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9" w:name="page10"/>
    <w:bookmarkEnd w:id="9"/>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is effective for fiscal years beginning after December 15, 2018, including interim periods within those fiscal years. Early adoption is permitted. We expect we will adopt the new lease standard effective January 1, 2019. Entities are required to adopt the new lease standard using a modified retrospective approach for all leases existing at or commencing after the date of initial application with an option to use certain practical expedients. We are currently evaluating how the adoption of the new lease standard will impact our condensed consolidated financial statements. Interpretations are on-going and could have a material impact on our implementation. Currently, we expect that the adoption of the new lease standard will have a material impact on our condensed consolidated balance sheet due to the recognition of right-of-use assets and lease liabilities principally for certain leases currently accounted for as operating leases.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Statement of Cash Flows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November 2016, the FASB issued ASU 2016-18, “Statement of Cash Flows (Topic 230): Restricted Cash.” ASU 2016-18 requires that the change in total cash, cash at beginning of period and cash at end of period on the statement of cash flows include restricted cash and restricted cash equivalents. ASU 2016-18 also requires companies who report cash and restricted cash separately on the balance sheet to reconcile those amounts to the statement of cash flows. This standard is to be applied retrospectively to each period presented and is effective for public entities for fiscal years beginning after December 15, 2017, and interim periods within those fiscal years. Early adoption is permitted. We expect we will adopt this new standard effective January 1, 2018. This standard is not expected to have a material impact on our condensed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Retirement Benefits</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March 2017, the FASB issued ASU 2017-07, “Compensation – Retirement Benefits (Topic 715): Improving the Presentation of Net Periodic Pension Cost and Net Periodic Postretirement Benefit Cost.” ASU 2017-07 requires an entity to present the service cost component of net benefit cost in the income statement line items where it reports compensation cost. Entities will present all other components of net benefit cost outside of operating income, if this subtotal is presented. This standard is to be applied retrospectively to each period presented and is effective for public entities for fiscal years beginning after December 15, 2017, and interim periods within those fiscal years. We will adopt this standard on January 1, 2018. The new standard will require all components of our net periodic benefit cost (income), with the exception of service cost, currently reported within operating expenses as salaries, wages and benefits, to be reclassified and reported within nonoperating income (expense). The adoption of this new standard will have no impact on pre-tax income or net income reported. See Note 8 for our current components of net periodic benefit cost (income).</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Financial Instruments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January 2016, the FASB issued ASU 2016-01, “Financial Instruments - Overall (Subtopic 825-10)." ASU 2016-01 makes several modifications to Subtopic 825-10, including the elimination of the available-for-sale classification of equity investments, and it requires equity investments with readily determinable fair values to be measured at fair value with changes in fair value recognized in net income. ASU 2016-01 is effective for interim and annual periods beginning after December 15, 2017. We will adopt this standard on January 1, 2018. Based on our portfolio of investments as of September 30, 2017, we do not expect the adoption of ASU 2016-01 to have a material impact on our condensed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3" w:right="239" w:bottom="1440" w:gutter="0" w:footer="0" w:header="0"/>
        </w:sectPr>
      </w:pPr>
    </w:p>
    <w:bookmarkStart w:id="10" w:name="page11"/>
    <w:bookmarkEnd w:id="10"/>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on the condensed consolidated statements of operations consisted of the following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1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9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2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 and</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(3)</w:t>
            </w:r>
          </w:p>
        </w:tc>
        <w:tc>
          <w:tcPr>
            <w:tcW w:w="9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Mainline operating special items, net</w:t>
            </w:r>
          </w:p>
        </w:tc>
        <w:tc>
          <w:tcPr>
            <w:tcW w:w="9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450</w:t>
            </w:r>
          </w:p>
        </w:tc>
      </w:tr>
      <w:tr>
        <w:trPr>
          <w:trHeight w:val="290"/>
        </w:trPr>
        <w:tc>
          <w:tcPr>
            <w:tcW w:w="212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(4)</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1"/>
                <w:szCs w:val="21"/>
                <w:color w:val="auto"/>
                <w:vertAlign w:val="superscript"/>
              </w:rPr>
              <w:t>(5)</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57"/>
        </w:trPr>
        <w:tc>
          <w:tcPr>
            <w:tcW w:w="2120" w:type="dxa"/>
            <w:vAlign w:val="bottom"/>
            <w:tcBorders>
              <w:bottom w:val="single" w:sz="8" w:color="auto"/>
            </w:tcBorders>
          </w:tcPr>
          <w:p>
            <w:pPr>
              <w:spacing w:after="0"/>
              <w:rPr>
                <w:sz w:val="22"/>
                <w:szCs w:val="22"/>
                <w:color w:val="auto"/>
              </w:rPr>
            </w:pPr>
          </w:p>
        </w:tc>
        <w:tc>
          <w:tcPr>
            <w:tcW w:w="2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296" w:lineRule="exact"/>
        <w:rPr>
          <w:sz w:val="20"/>
          <w:szCs w:val="20"/>
          <w:color w:val="auto"/>
        </w:rPr>
      </w:pPr>
    </w:p>
    <w:p>
      <w:pPr>
        <w:jc w:val="both"/>
        <w:ind w:left="500" w:hanging="330"/>
        <w:spacing w:after="0" w:line="233" w:lineRule="auto"/>
        <w:tabs>
          <w:tab w:leader="none" w:pos="5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periods also included costs related to alignment of labor union contracts, re-branded uniforms, relocation and severance.</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principally related to a gain on the sale of certain aircraft in the 2017 period and Merger integration expenses in the 2016 period.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Nonoperating special items, net primarily consisted of debt issuance and extinguishment costs associated with term loan refinancings. Additionally, the 2016 nine-month period included costs associated with a bond refinancing.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3" w:right="239" w:bottom="1440" w:gutter="0" w:footer="0" w:header="0"/>
        </w:sectPr>
      </w:pPr>
    </w:p>
    <w:bookmarkStart w:id="11" w:name="page12"/>
    <w:bookmarkEnd w:id="11"/>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following table sets forth the computation of basic and diluted earnings per common share (EPS) (in millions, except share and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2,387</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484,772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525,415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493,164</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564,886</w:t>
            </w:r>
          </w:p>
        </w:tc>
      </w:tr>
      <w:tr>
        <w:trPr>
          <w:trHeight w:val="284"/>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EPS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4.23</w:t>
            </w:r>
          </w:p>
        </w:tc>
      </w:tr>
      <w:tr>
        <w:trPr>
          <w:trHeight w:val="271"/>
        </w:trPr>
        <w:tc>
          <w:tcPr>
            <w:tcW w:w="6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for purposes of computing diluted EPS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484,772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525,415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493,164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564,886</w:t>
            </w:r>
          </w:p>
        </w:tc>
      </w:tr>
      <w:tr>
        <w:trPr>
          <w:trHeight w:val="264"/>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effect of stock awards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3,095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3,793</w:t>
            </w:r>
          </w:p>
        </w:tc>
      </w:tr>
      <w:tr>
        <w:trPr>
          <w:trHeight w:val="257"/>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486,625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528,510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495,796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568,679</w:t>
            </w:r>
          </w:p>
        </w:tc>
      </w:tr>
      <w:tr>
        <w:trPr>
          <w:trHeight w:val="284"/>
        </w:trPr>
        <w:tc>
          <w:tcPr>
            <w:tcW w:w="602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4.20</w:t>
            </w:r>
          </w:p>
        </w:tc>
      </w:tr>
      <w:tr>
        <w:trPr>
          <w:trHeight w:val="271"/>
        </w:trPr>
        <w:tc>
          <w:tcPr>
            <w:tcW w:w="6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Restricted stock unit awards excluded from the calculation of diluted EPS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7"/>
        </w:trPr>
        <w:tc>
          <w:tcPr>
            <w:tcW w:w="6020" w:type="dxa"/>
            <w:vAlign w:val="bottom"/>
          </w:tcPr>
          <w:p>
            <w:pPr>
              <w:ind w:left="40"/>
              <w:spacing w:after="0"/>
              <w:rPr>
                <w:sz w:val="20"/>
                <w:szCs w:val="20"/>
                <w:color w:val="auto"/>
              </w:rPr>
            </w:pPr>
            <w:r>
              <w:rPr>
                <w:rFonts w:ascii="Arial" w:cs="Arial" w:eastAsia="Arial" w:hAnsi="Arial"/>
                <w:sz w:val="18"/>
                <w:szCs w:val="18"/>
                <w:color w:val="auto"/>
              </w:rPr>
              <w:t>because inclusion would be antidilutive (in thousands)</w:t>
            </w:r>
          </w:p>
        </w:tc>
        <w:tc>
          <w:tcPr>
            <w:tcW w:w="3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1,771</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Since July 2014, our Board of Directors has approved six share repurchase programs aggregating $11.0 billion of authority. As of September 30, 2017, $677 million remained unused under a repurchase program that expires on December 31, 2018.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During the three months ended September 30, 2017, we repurchased 7.7 million shares of AAG common stock for $362 million at a weighted average cost per share of $46.97. During the nine months ended September 30, 2017, we repurchased 29.4 million shares of AAG common stock for $1.3 billion at a weighted average cost per share of $45.05. Since the inception of our share repurchase programs in July 2014, we have repurchased 257.7 million shares of AAG common stock for $10.3 billion at a weighted average cost per share of $40.05.</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Board of Directors declared the following cash dividends during the first nine months of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stockholders</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record as of</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Payable on</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(millions)</w:t>
            </w:r>
          </w:p>
        </w:tc>
      </w:tr>
      <w:tr>
        <w:trPr>
          <w:trHeight w:val="25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13, 2017</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February 27, 2017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r>
      <w:tr>
        <w:trPr>
          <w:trHeight w:val="26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May 16, 2017</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May 30, 2017</w:t>
            </w:r>
          </w:p>
        </w:tc>
        <w:tc>
          <w:tcPr>
            <w:tcW w:w="2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50</w:t>
            </w:r>
          </w:p>
        </w:tc>
      </w:tr>
      <w:tr>
        <w:trPr>
          <w:trHeight w:val="277"/>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August 14, 2017</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August 28, 2017</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r>
      <w:tr>
        <w:trPr>
          <w:trHeight w:val="244"/>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150</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3" w:right="239" w:bottom="1440" w:gutter="0" w:footer="0" w:header="0"/>
        </w:sectPr>
      </w:pPr>
    </w:p>
    <w:bookmarkStart w:id="12" w:name="page13"/>
    <w:bookmarkEnd w:id="12"/>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2013 Credit Facilities, variable interest rate of 3.24%, installments through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1,843</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Credit Facilities, variable interest rate of 3.24%, installments through 2021</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April 2016 Credit Facilities, variable interest rate of 3.74%, installments through 2023</w:t>
            </w:r>
          </w:p>
        </w:tc>
        <w:tc>
          <w:tcPr>
            <w:tcW w:w="160" w:type="dxa"/>
            <w:vAlign w:val="bottom"/>
          </w:tcPr>
          <w:p>
            <w:pPr>
              <w:spacing w:after="0"/>
              <w:rPr>
                <w:sz w:val="22"/>
                <w:szCs w:val="22"/>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2016 Credit Facilities, variable interest rate of 3.73%, installments through 2023</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Aircraft enhanced equipment trust certificates (EETCs), fixed interest rates ranging from 3.00%</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880" w:type="dxa"/>
            <w:vAlign w:val="bottom"/>
          </w:tcPr>
          <w:p>
            <w:pPr>
              <w:ind w:left="340"/>
              <w:spacing w:after="0"/>
              <w:rPr>
                <w:sz w:val="20"/>
                <w:szCs w:val="20"/>
                <w:color w:val="auto"/>
              </w:rPr>
            </w:pPr>
            <w:r>
              <w:rPr>
                <w:rFonts w:ascii="Arial" w:cs="Arial" w:eastAsia="Arial" w:hAnsi="Arial"/>
                <w:sz w:val="18"/>
                <w:szCs w:val="18"/>
                <w:color w:val="auto"/>
              </w:rPr>
              <w:t>to 9.75%, maturing from 2018 to 2029</w:t>
            </w:r>
          </w:p>
        </w:tc>
        <w:tc>
          <w:tcPr>
            <w:tcW w:w="16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10,912</w:t>
            </w:r>
          </w:p>
        </w:tc>
      </w:tr>
      <w:tr>
        <w:trPr>
          <w:trHeight w:val="23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loans and other notes payable, fixed and variable interest rates ranging from 2.34%</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 8.99%, maturing from 2018 to 2029</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5,343</w:t>
            </w: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Special facility revenue bonds, fixed interest rates ranging from 5.00% to 8.00%, maturing from</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880" w:type="dxa"/>
            <w:vAlign w:val="bottom"/>
          </w:tcPr>
          <w:p>
            <w:pPr>
              <w:ind w:left="340"/>
              <w:spacing w:after="0"/>
              <w:rPr>
                <w:sz w:val="20"/>
                <w:szCs w:val="20"/>
                <w:color w:val="auto"/>
              </w:rPr>
            </w:pPr>
            <w:r>
              <w:rPr>
                <w:rFonts w:ascii="Arial" w:cs="Arial" w:eastAsia="Arial" w:hAnsi="Arial"/>
                <w:sz w:val="18"/>
                <w:szCs w:val="18"/>
                <w:color w:val="auto"/>
              </w:rPr>
              <w:t>2018 to 2035</w:t>
            </w:r>
          </w:p>
        </w:tc>
        <w:tc>
          <w:tcPr>
            <w:tcW w:w="16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891</w:t>
            </w:r>
          </w:p>
        </w:tc>
      </w:tr>
      <w:tr>
        <w:trPr>
          <w:trHeight w:val="23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secured obligations, fixed interest rates ranging from 3.60% to 12.24%, maturing from</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4"/>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2017 to 2028</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r>
      <w:tr>
        <w:trPr>
          <w:trHeight w:val="250"/>
        </w:trPr>
        <w:tc>
          <w:tcPr>
            <w:tcW w:w="7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23,172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22,823</w:t>
            </w: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Unsecured</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5.50% senior notes, interest only payments until due in 2019</w:t>
            </w:r>
          </w:p>
        </w:tc>
        <w:tc>
          <w:tcPr>
            <w:tcW w:w="160" w:type="dxa"/>
            <w:vAlign w:val="bottom"/>
          </w:tcPr>
          <w:p>
            <w:pPr>
              <w:spacing w:after="0"/>
              <w:rPr>
                <w:sz w:val="22"/>
                <w:szCs w:val="22"/>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6.125% senior notes, interest only payments until due in 2018</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4.625% senior notes, interest only payments until due in 2020</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500</w:t>
            </w:r>
          </w:p>
        </w:tc>
      </w:tr>
      <w:tr>
        <w:trPr>
          <w:trHeight w:val="257"/>
        </w:trPr>
        <w:tc>
          <w:tcPr>
            <w:tcW w:w="78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Total long-term debt and capital lease obligations</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24,922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24,573</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Total unamortized debt discount, premium and issuance costs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1,855</w:t>
            </w: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22,489</w:t>
            </w: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September 30, 2017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63"/>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4"/>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in the future.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3" w:right="239" w:bottom="1440" w:gutter="0" w:footer="0" w:header="0"/>
        </w:sectPr>
      </w:pPr>
    </w:p>
    <w:bookmarkStart w:id="13" w:name="page14"/>
    <w:bookmarkEnd w:id="13"/>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2017 Aircraft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2017-2 EETCs</w:t>
      </w:r>
    </w:p>
    <w:p>
      <w:pPr>
        <w:spacing w:after="0" w:line="108"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18"/>
          <w:szCs w:val="18"/>
          <w:color w:val="auto"/>
        </w:rPr>
        <w:t>In August 2017, American created two pass-through trusts which issued approximately $797 million aggregate principal amount of Series 2017-2 Class AA and Class A EETCs (the 2017-2 EETCs) in connection with the financing of 30 aircraft previously delivered to American or scheduled to be delivered to American through April 2018 (the 2017-2 Aircraft). A portion of the net proceeds received from the sale of the 2017-2 EETCs has been used to acquire Series AA and A equipment notes issued by American to the pass-through trusts and the balance of such proceeds is being held in escrow for the benefit of the holders of the 2017-2 EETCs until such time as American issues additional Series</w:t>
      </w:r>
    </w:p>
    <w:p>
      <w:pPr>
        <w:spacing w:after="0" w:line="2" w:lineRule="exact"/>
        <w:rPr>
          <w:sz w:val="20"/>
          <w:szCs w:val="20"/>
          <w:color w:val="auto"/>
        </w:rPr>
      </w:pPr>
    </w:p>
    <w:p>
      <w:pPr>
        <w:jc w:val="both"/>
        <w:ind w:firstLine="8"/>
        <w:spacing w:after="0" w:line="256" w:lineRule="auto"/>
        <w:tabs>
          <w:tab w:leader="none" w:pos="308"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A equipment notes to the pass-through trusts, which trusts will purchase such additional equipment notes with the escrowed funds. These escrowed funds are not guaranteed by American and are not reported as debt on our condensed consolidated balance sheet because the proceeds held by the depository are not American's assets.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September 30, 2017, approximately $253 million of the escrowed proceeds from the 2017-2 EETCs have been used to purchase equipment notes issued by American. Interest and principal payments on equipment notes issued in connection with the 2017-2 EETCs are payable semi-annually in April and October of each year, with interest payments beginning in April 2018 and principal payments beginning in October 2018. These equipment notes are secured by liens on the aircraft financed with the proceeds of the 2017-2 EETCs.</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information regarding the 2017-2 EETC equipment notes and the remaining escrowed proceeds of the 2017-2 EETCs, as of September 30, 2017, is set forth in the table below.</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2017-2 EETCs</w:t>
            </w:r>
          </w:p>
        </w:tc>
      </w:tr>
      <w:tr>
        <w:trPr>
          <w:trHeight w:val="264"/>
        </w:trPr>
        <w:tc>
          <w:tcPr>
            <w:tcW w:w="74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b w:val="1"/>
                <w:bCs w:val="1"/>
                <w:color w:val="auto"/>
              </w:rPr>
              <w:t>Series AA</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52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9"/>
              </w:rPr>
              <w:t>$545 million</w:t>
            </w: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$252 million</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Remaining escrowed proceeds</w:t>
            </w:r>
          </w:p>
        </w:tc>
        <w:tc>
          <w:tcPr>
            <w:tcW w:w="1520" w:type="dxa"/>
            <w:vAlign w:val="bottom"/>
          </w:tcPr>
          <w:p>
            <w:pPr>
              <w:jc w:val="center"/>
              <w:ind w:left="314"/>
              <w:spacing w:after="0"/>
              <w:rPr>
                <w:sz w:val="20"/>
                <w:szCs w:val="20"/>
                <w:color w:val="auto"/>
              </w:rPr>
            </w:pPr>
            <w:r>
              <w:rPr>
                <w:rFonts w:ascii="Arial" w:cs="Arial" w:eastAsia="Arial" w:hAnsi="Arial"/>
                <w:sz w:val="18"/>
                <w:szCs w:val="18"/>
                <w:color w:val="auto"/>
                <w:w w:val="99"/>
              </w:rPr>
              <w:t>$372 million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$172 million</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152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7"/>
              </w:rPr>
              <w:t>3.35%</w:t>
            </w:r>
          </w:p>
        </w:tc>
        <w:tc>
          <w:tcPr>
            <w:tcW w:w="2460" w:type="dxa"/>
            <w:vAlign w:val="bottom"/>
            <w:gridSpan w:val="3"/>
            <w:shd w:val="clear" w:color="auto" w:fill="CCEEFF"/>
          </w:tcPr>
          <w:p>
            <w:pPr>
              <w:jc w:val="center"/>
              <w:ind w:left="439"/>
              <w:spacing w:after="0"/>
              <w:rPr>
                <w:sz w:val="20"/>
                <w:szCs w:val="20"/>
                <w:color w:val="auto"/>
              </w:rPr>
            </w:pPr>
            <w:r>
              <w:rPr>
                <w:rFonts w:ascii="Arial" w:cs="Arial" w:eastAsia="Arial" w:hAnsi="Arial"/>
                <w:sz w:val="18"/>
                <w:szCs w:val="18"/>
                <w:color w:val="auto"/>
                <w:w w:val="97"/>
              </w:rPr>
              <w:t>3.60%</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1520" w:type="dxa"/>
            <w:vAlign w:val="bottom"/>
          </w:tcPr>
          <w:p>
            <w:pPr>
              <w:jc w:val="center"/>
              <w:ind w:left="334"/>
              <w:spacing w:after="0"/>
              <w:rPr>
                <w:sz w:val="20"/>
                <w:szCs w:val="20"/>
                <w:color w:val="auto"/>
              </w:rPr>
            </w:pPr>
            <w:r>
              <w:rPr>
                <w:rFonts w:ascii="Arial" w:cs="Arial" w:eastAsia="Arial" w:hAnsi="Arial"/>
                <w:sz w:val="18"/>
                <w:szCs w:val="18"/>
                <w:color w:val="auto"/>
              </w:rPr>
              <w:t>October 2029</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October 2029</w:t>
            </w:r>
          </w:p>
        </w:tc>
      </w:tr>
    </w:tbl>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2017-1 EETCs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January 2017, American created three pass-through trusts which issued approximately $983 million aggregate principal amount of Series 2017-1 Class AA, Class A and Class B EETCs (the 2017-1 EETCs) in connection with the financing of 24 aircraft delivered to American through May 2017 (the 2017-1 Aircraft).</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During the first six months of 2017, all of the net proceeds received from the sale of the 2017-1 EETCs were used to purchase equipment notes issued by American in connection with the financing of the 2017-1 Aircraft. Interest and principal payments on equipment notes issued in connection with the 2017-1 EETCs are payable semi-annually in February and August of each year, with interest payments that began in August 2017 and principal payments beginning in February 2018. These equipment notes are secured by liens on the 2017-1 Aircraft.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2017-1 EETC equipment notes, as of September 30, 2017, is set forth in the table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2017-1 EETCs</w:t>
            </w:r>
          </w:p>
        </w:tc>
        <w:tc>
          <w:tcPr>
            <w:tcW w:w="1700" w:type="dxa"/>
            <w:vAlign w:val="bottom"/>
            <w:tcBorders>
              <w:bottom w:val="single" w:sz="8" w:color="auto"/>
            </w:tcBorders>
          </w:tcPr>
          <w:p>
            <w:pPr>
              <w:spacing w:after="0"/>
              <w:rPr>
                <w:sz w:val="17"/>
                <w:szCs w:val="17"/>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$537 million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$248 million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$198 million</w:t>
            </w:r>
          </w:p>
        </w:tc>
      </w:tr>
      <w:tr>
        <w:trPr>
          <w:trHeight w:val="263"/>
        </w:trPr>
        <w:tc>
          <w:tcPr>
            <w:tcW w:w="608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3.65%</w:t>
            </w:r>
          </w:p>
        </w:tc>
        <w:tc>
          <w:tcPr>
            <w:tcW w:w="1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4.95%</w:t>
            </w: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2029</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 2029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February 2025</w:t>
            </w: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2016-3 EETCs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During the first quarter of 2017, all remaining net proceeds of the Series 2016-3 Class AA and Class A EETCs (the 2016-3 EETCs), in the amount of $109 million, were used to purchase equipment notes issued by American in connection with the financing of two of the 25 aircraft financed under the 2016-3 EETCs (such 25 aircraft, the 2016-3 Aircraft). Interest and principal payments on equipment notes issued in connection with the 2016-3 EETCs are payable semi-annually in April and October of each year, with interest payments that began in April 2017 and principal payments beginning in October 2017. These equipment notes are secured by liens on the 2016-3 Aircraft.</w:t>
      </w:r>
    </w:p>
    <w:p>
      <w:pPr>
        <w:sectPr>
          <w:pgSz w:w="11900" w:h="16838" w:orient="portrait"/>
          <w:cols w:equalWidth="0" w:num="1">
            <w:col w:w="11420"/>
          </w:cols>
          <w:pgMar w:left="240" w:top="333"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333" w:right="239" w:bottom="1440" w:gutter="0" w:footer="0" w:header="0"/>
          <w:type w:val="continuous"/>
        </w:sectPr>
      </w:pPr>
    </w:p>
    <w:bookmarkStart w:id="14" w:name="page15"/>
    <w:bookmarkEnd w:id="14"/>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2016-3 EETC equipment notes, as of September 30, 2017, is set forth in the table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376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2016-3 EETCs</w:t>
            </w:r>
          </w:p>
        </w:tc>
      </w:tr>
      <w:tr>
        <w:trPr>
          <w:trHeight w:val="264"/>
        </w:trPr>
        <w:tc>
          <w:tcPr>
            <w:tcW w:w="766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$558 million</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$256 million</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820" w:type="dxa"/>
            <w:vAlign w:val="bottom"/>
          </w:tcPr>
          <w:p>
            <w:pPr>
              <w:jc w:val="center"/>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3.25%</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2028</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October 2028</w:t>
            </w: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Loans and Other Notes Payable Issued in 2017</w:t>
      </w:r>
    </w:p>
    <w:p>
      <w:pPr>
        <w:spacing w:after="0" w:line="10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first nine months of 2017, American entered into agreements under which it borrowed $815 million in connection with the financing of certain aircraft. Debt incurred under these agreements matures in 2021 through 2029.</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2017 Other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2013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March 2017, American and AAG entered into the Second Amendment to the Amended and Restated Credit and Guaranty Agreement, amending the Amended and Restated Credit and Guaranty Agreement dated as of May 21, 2015 (which amended and restated the Credit and Guaranty Agreement dated as of June 27, 2013), as previously amended by the First Amendment to Amended and Restated Credit and Guaranty Agreement dated as of October 26, 2015, pursuant to which we refinanced the $1.8 billion term loan facility due June 2020 established thereunder (the 2013 Term Loan Facility and, together with the $1.4 billion revolving credit facility established under such agreement (the 2013 Revolving Facility), the 2013 Credit Facilities) to reduce the LIBOR margin from 2.50% to 2.00% and the base rate margin from 1.50% to 1.00%.</w:t>
      </w:r>
    </w:p>
    <w:p>
      <w:pPr>
        <w:spacing w:after="0" w:line="15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August 2017, American and AAG entered into the Third Amendment to the Amended and Restated Credit and Guaranty Agreement pursuant to which the maturity date of the 2013 Revolving Facility was extended to October 2022, the LIBOR margin thereon was reduced from 3.00% to 2.25%, and the maximum principal amount of such facility was reduced to $1.2 billion. As of September 30, 2017, approximately $1.8 billion of principal was outstanding under the 2013 Term Loan Facility and there were no borrowings or letters of credit outstanding under the 2013 Revolving Facility.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June 2017, American and AAG entered into the Third Amendment to the Amended and Restated Credit and Guaranty Agreement, amending the Amended and Restated Credit and Guaranty Agreement dated as of April 20, 2015 (which amended and restated the Credit and Guaranty Agreement dated as of October 10, 2014), as previously amended by the First Amendment to Amended and Restated Credit and Guaranty Agreement dated as of October 26, 2015 and the Second Amendment to Amended and Restated Credit and Guaranty Agreement dated as of September 22, 2016, pursuant to which we refinanced the $735 million term loan facility due October 2021 established thereunder (the 2014 Term Loan Facility and, together with the $ 1.025 billion revolving credit facility established under such agreement (the 2014 Revolving Facility), the 2014 Credit Facilities) to reduce the LIBOR margin from 2.50% to 2.00% and the base rate margin from 1.50% to 1.00%.</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August 2017, American and AAG entered into the Fourth Amendment to the Amended and Restated Credit and Guaranty Agreement pursuant to which the maturity date of the 2014 Revolving Facility was extended to October 2022, the LIBOR margin thereon was reduced from 3.00% to 2.25%, and the maximum principal amount of such facility was reduced to $1.0 billion. As of September 30, 2017, approximately $ 735 million of principal was outstanding under the 2014 Term Loan Facility and there were no borrowings or letters of credit outstanding under the 2014 Revolving Facility.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April 2016 Credit Facilities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August 2017, American and AAG entered into the Second Amendment to the Credit and Guaranty Agreement, amending the Credit and Guaranty Agreement dated as of April 29, 2016 (the April 2016 Credit Facilities), as previously amended by the First Amendment to the Credit and Guaranty Agreement, dated as of October 31, 2016, pursuant to which a new $300 million revolving credit facility (the April 2016 Revolving Facility) was established with a maturity date of October 2022 and a LIBOR margin of 2.25%. As of September 30, 2017, approximately $990 million of principal was outstanding under the term loan facility under the April 2016 Credit Facilities and there were no borrowings or letters of credit outstanding under the April 2016 Revolving Facility.</w:t>
      </w:r>
    </w:p>
    <w:p>
      <w:pPr>
        <w:sectPr>
          <w:pgSz w:w="11900" w:h="16838" w:orient="portrait"/>
          <w:cols w:equalWidth="0" w:num="1">
            <w:col w:w="11420"/>
          </w:cols>
          <w:pgMar w:left="240" w:top="333" w:right="2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333" w:right="239" w:bottom="1440" w:gutter="0" w:footer="0" w:header="0"/>
          <w:type w:val="continuous"/>
        </w:sectPr>
      </w:pPr>
    </w:p>
    <w:bookmarkStart w:id="15" w:name="page16"/>
    <w:bookmarkEnd w:id="15"/>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At December 31, 2016, we had approximately $10.5 billion of gross net operating losses (NOLs) carried over from prior taxable years (NOL Carryforwards) to reduce future federal taxable income, substantially all of which are expected to be available for use in 2017. The federal NOL Carryforwards will expire beginning in 2022 if unused. We also had approximately $3.7 billion of NOL Carryforwards to reduce future state taxable income at December 31, 2016, which will expire in years 2017 through 2036 if unused.</w:t>
      </w:r>
    </w:p>
    <w:p>
      <w:pPr>
        <w:spacing w:after="0" w:line="15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At December 31, 2016, we had an alternative minimum tax credit carryforward of approximately $339 million available for federal income tax purposes, which is available for an indefinite period.</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the three and nine months ended September 30, 2017, we recorded an income tax provision of $380 million and $998 million, respectively, which was substantially non-cash due to the utilization of the NOLs described above. Substantially all of our income before income taxes is attributable to the United States.</w:t>
      </w:r>
    </w:p>
    <w:p>
      <w:pPr>
        <w:spacing w:after="0" w:line="207" w:lineRule="exact"/>
        <w:rPr>
          <w:sz w:val="20"/>
          <w:szCs w:val="20"/>
          <w:color w:val="auto"/>
        </w:rPr>
      </w:pPr>
    </w:p>
    <w:p>
      <w:pPr>
        <w:ind w:left="220" w:right="6760" w:hanging="212"/>
        <w:spacing w:after="0" w:line="378" w:lineRule="auto"/>
        <w:tabs>
          <w:tab w:leader="none" w:pos="20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16"/>
        <w:spacing w:after="0" w:line="254" w:lineRule="auto"/>
        <w:rPr>
          <w:sz w:val="20"/>
          <w:szCs w:val="20"/>
          <w:color w:val="auto"/>
        </w:rPr>
      </w:pPr>
      <w:r>
        <w:rPr>
          <w:rFonts w:ascii="Arial" w:cs="Arial" w:eastAsia="Arial" w:hAnsi="Arial"/>
          <w:sz w:val="18"/>
          <w:szCs w:val="18"/>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nine months ended September 30, 2017.</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2017</w:t>
            </w:r>
          </w:p>
        </w:tc>
        <w:tc>
          <w:tcPr>
            <w:tcW w:w="102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3"/>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7"/>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77"/>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44"/>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3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Our short-term investments mature in one year or less except for $1.2 billion of bank notes/certificates of deposit/time deposits and $341 million of corporate obligations.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December 31, 2016</w:t>
            </w:r>
          </w:p>
        </w:tc>
      </w:tr>
      <w:tr>
        <w:trPr>
          <w:trHeight w:val="175"/>
        </w:trPr>
        <w:tc>
          <w:tcPr>
            <w:tcW w:w="5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5"/>
                <w:szCs w:val="15"/>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196"/>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56"/>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24,684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25,681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24,344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24,983</w:t>
            </w: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333" w:right="239" w:bottom="1440" w:gutter="0" w:footer="0" w:header="0"/>
          <w:type w:val="continuous"/>
        </w:sectPr>
      </w:pPr>
    </w:p>
    <w:bookmarkStart w:id="16" w:name="page17"/>
    <w:bookmarkEnd w:id="16"/>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Investments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an approximate 25% ownership interest in Republic Airways Holdings Inc. (Republic), which we received in the second quarter of 2017 in consideration for our unsecured claim in Republic’s bankruptcy case. This ownership interest is accounted for under the equity method and our portion of Republic’s financial results is recognized within other, net on the condensed consolidated statements of operations.</w:t>
      </w:r>
    </w:p>
    <w:p>
      <w:pPr>
        <w:spacing w:after="0" w:line="148"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Additionally, in the third quarter of 2017, we acquired 2.7% of the outstanding shares of China Southern Airlines Company Limited for $ 203 million. Since our subscription agreement restricts the sale or transfer of these shares for three years, we account for this investment under the cost method.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tables provide the components of net periodic benefit cost (income) (in millions):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5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Pension Benefits</w:t>
            </w:r>
          </w:p>
        </w:tc>
        <w:tc>
          <w:tcPr>
            <w:tcW w:w="286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Postretirement Benefits</w:t>
            </w:r>
          </w:p>
        </w:tc>
      </w:tr>
      <w:tr>
        <w:trPr>
          <w:trHeight w:val="258"/>
        </w:trPr>
        <w:tc>
          <w:tcPr>
            <w:tcW w:w="5540" w:type="dxa"/>
            <w:vAlign w:val="bottom"/>
          </w:tcPr>
          <w:p>
            <w:pPr>
              <w:spacing w:after="0"/>
              <w:rPr>
                <w:sz w:val="20"/>
                <w:szCs w:val="20"/>
                <w:color w:val="auto"/>
              </w:rPr>
            </w:pPr>
            <w:r>
              <w:rPr>
                <w:rFonts w:ascii="Arial" w:cs="Arial" w:eastAsia="Arial" w:hAnsi="Arial"/>
                <w:sz w:val="14"/>
                <w:szCs w:val="14"/>
                <w:b w:val="1"/>
                <w:bCs w:val="1"/>
                <w:color w:val="auto"/>
              </w:rPr>
              <w:t>Three Months Ended September 30,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2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44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service cost (benefit)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Unrecognized net loss (gain)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periodic benefit cost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5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40"/>
        </w:trPr>
        <w:tc>
          <w:tcPr>
            <w:tcW w:w="5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7"/>
        </w:trPr>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-882650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-539750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-196850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860" w:type="dxa"/>
            <w:vAlign w:val="bottom"/>
          </w:tcPr>
          <w:p>
            <w:pPr>
              <w:spacing w:after="0"/>
              <w:rPr>
                <w:sz w:val="17"/>
                <w:szCs w:val="17"/>
                <w:color w:val="auto"/>
              </w:rPr>
            </w:pPr>
          </w:p>
        </w:tc>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Pension Benefits</w:t>
            </w:r>
          </w:p>
        </w:tc>
        <w:tc>
          <w:tcPr>
            <w:tcW w:w="286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Postretirement Benefits</w:t>
            </w:r>
          </w:p>
        </w:tc>
      </w:tr>
      <w:tr>
        <w:trPr>
          <w:trHeight w:val="258"/>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2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44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r>
    </w:tbl>
    <w:p>
      <w:pPr>
        <w:spacing w:after="0" w:line="1" w:lineRule="exact"/>
        <w:rPr>
          <w:sz w:val="20"/>
          <w:szCs w:val="20"/>
          <w:color w:val="auto"/>
        </w:rPr>
      </w:pPr>
    </w:p>
    <w:p>
      <w:pPr>
        <w:sectPr>
          <w:pgSz w:w="11900" w:h="16838" w:orient="portrait"/>
          <w:cols w:equalWidth="0" w:num="2">
            <w:col w:w="4860" w:space="720"/>
            <w:col w:w="584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64"/>
        </w:trPr>
        <w:tc>
          <w:tcPr>
            <w:tcW w:w="5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During the first nine months of 2017, we contributed $281 million to our defined benefit pension plans, including supplemental contributions of $256 million in addition to a $25 million minimum required cash contribution.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3" w:right="239" w:bottom="1440" w:gutter="0" w:footer="0" w:header="0"/>
          <w:type w:val="continuous"/>
        </w:sectPr>
      </w:pPr>
    </w:p>
    <w:bookmarkStart w:id="17" w:name="page18"/>
    <w:bookmarkEnd w:id="17"/>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212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r>
      <w:tr>
        <w:trPr>
          <w:trHeight w:val="26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1"/>
                <w:szCs w:val="11"/>
                <w:color w:val="auto"/>
              </w:rPr>
              <w:t>(2)</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4"/>
        </w:trPr>
        <w:tc>
          <w:tcPr>
            <w:tcW w:w="6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4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296" w:lineRule="exact"/>
        <w:rPr>
          <w:sz w:val="20"/>
          <w:szCs w:val="20"/>
          <w:color w:val="auto"/>
        </w:rPr>
      </w:pPr>
    </w:p>
    <w:p>
      <w:pPr>
        <w:ind w:left="540" w:hanging="316"/>
        <w:spacing w:after="0" w:line="225" w:lineRule="auto"/>
        <w:tabs>
          <w:tab w:leader="none" w:pos="54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3" w:lineRule="exact"/>
        <w:rPr>
          <w:rFonts w:ascii="Arial" w:cs="Arial" w:eastAsia="Arial" w:hAnsi="Arial"/>
          <w:sz w:val="22"/>
          <w:szCs w:val="22"/>
          <w:color w:val="auto"/>
          <w:vertAlign w:val="superscript"/>
        </w:rPr>
      </w:pPr>
    </w:p>
    <w:p>
      <w:pPr>
        <w:ind w:left="540" w:hanging="316"/>
        <w:spacing w:after="0" w:line="225" w:lineRule="auto"/>
        <w:tabs>
          <w:tab w:leader="none" w:pos="54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420"/>
          </w:cols>
          <w:pgMar w:left="240" w:top="333" w:right="239" w:bottom="1440" w:gutter="0" w:footer="0" w:header="0"/>
        </w:sect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r>
      <w:tr>
        <w:trPr>
          <w:trHeight w:val="175"/>
        </w:trPr>
        <w:tc>
          <w:tcPr>
            <w:tcW w:w="4420" w:type="dxa"/>
            <w:vAlign w:val="bottom"/>
          </w:tcPr>
          <w:p>
            <w:pPr>
              <w:spacing w:after="0"/>
              <w:rPr>
                <w:sz w:val="15"/>
                <w:szCs w:val="15"/>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2"/>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420" w:type="dxa"/>
            <w:vAlign w:val="bottom"/>
          </w:tcPr>
          <w:p>
            <w:pPr>
              <w:spacing w:after="0"/>
              <w:rPr>
                <w:sz w:val="17"/>
                <w:szCs w:val="17"/>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442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0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540" w:hanging="19"/>
        <w:spacing w:after="0" w:line="263"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32" w:lineRule="exact"/>
        <w:rPr>
          <w:sz w:val="20"/>
          <w:szCs w:val="20"/>
          <w:color w:val="auto"/>
        </w:rPr>
      </w:pPr>
    </w:p>
    <w:p>
      <w:pPr>
        <w:sectPr>
          <w:pgSz w:w="11900" w:h="16838" w:orient="portrait"/>
          <w:cols w:equalWidth="0" w:num="2">
            <w:col w:w="8460" w:space="680"/>
            <w:col w:w="2280"/>
          </w:cols>
          <w:pgMar w:left="240" w:top="333"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 and other</w:t>
      </w:r>
    </w:p>
    <w:p>
      <w:pPr>
        <w:ind w:left="40"/>
        <w:spacing w:after="0"/>
        <w:rPr>
          <w:sz w:val="20"/>
          <w:szCs w:val="20"/>
          <w:color w:val="auto"/>
        </w:rPr>
      </w:pPr>
      <w:r>
        <w:rPr>
          <w:rFonts w:ascii="Arial" w:cs="Arial" w:eastAsia="Arial" w:hAnsi="Arial"/>
          <w:sz w:val="18"/>
          <w:szCs w:val="18"/>
          <w:color w:val="auto"/>
        </w:rPr>
        <w:t>postretirement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Prior service cost (benefit)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960" w:type="dxa"/>
            <w:vAlign w:val="bottom"/>
          </w:tcPr>
          <w:p>
            <w:pPr>
              <w:jc w:val="right"/>
              <w:ind w:right="430"/>
              <w:spacing w:after="0"/>
              <w:rPr>
                <w:sz w:val="20"/>
                <w:szCs w:val="20"/>
                <w:color w:val="auto"/>
              </w:rPr>
            </w:pPr>
            <w:r>
              <w:rPr>
                <w:rFonts w:ascii="Arial" w:cs="Arial" w:eastAsia="Arial" w:hAnsi="Arial"/>
                <w:sz w:val="18"/>
                <w:szCs w:val="18"/>
                <w:color w:val="auto"/>
              </w:rPr>
              <w:t>Salaries, wages and benefits</w:t>
            </w:r>
          </w:p>
        </w:tc>
      </w:tr>
      <w:tr>
        <w:trPr>
          <w:trHeight w:val="277"/>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5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52   Salaries, wages and benefits</w:t>
            </w:r>
          </w:p>
        </w:tc>
      </w:tr>
      <w:tr>
        <w:trPr>
          <w:trHeight w:val="244"/>
        </w:trPr>
        <w:tc>
          <w:tcPr>
            <w:tcW w:w="446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96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Expenses associated with our wholly-owned regional airlines and third-party regional carriers operating under the brand name American Eagle are classified as regional expenses on the condensed consolidated statements of operations. Regional expenses consist of the following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318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82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26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Capacity purchases from third-party regional carriers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218</w:t>
            </w: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343</w:t>
            </w: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4,488</w:t>
            </w: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333" w:right="239" w:bottom="1440" w:gutter="0" w:footer="0" w:header="0"/>
          <w:type w:val="continuous"/>
        </w:sectPr>
      </w:pPr>
    </w:p>
    <w:bookmarkStart w:id="18" w:name="page19"/>
    <w:bookmarkEnd w:id="18"/>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September 30, 2017, there were approximately 24.5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3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we received a Civil Investigative Demand (CID) from the United States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Justice (DOJ)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October 28, 2016, the Court denied a motion by the airline defendants to dismiss all claims in the class actions. Both the DOJ investigation and these lawsuits are in their relatively early stages and we intend to defend these matters vigorously.</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May 12, 2017, defendants filed a motion for summary judgment. On June 23, 2017, plaintiffs filed an opposition to defendants’ motion and cross-motion for summary judgment. Briefing of the parties’ respective motions concluded on September 1, 2017; a hearing date has not yet been set. We believe this lawsuit is without merit and intend to vigorously defend against the allegations.</w:t>
      </w:r>
    </w:p>
    <w:p>
      <w:pPr>
        <w:spacing w:after="0" w:line="13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3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3" w:right="239" w:bottom="1440" w:gutter="0" w:footer="0" w:header="0"/>
        </w:sectPr>
      </w:pPr>
    </w:p>
    <w:bookmarkStart w:id="19" w:name="page20"/>
    <w:bookmarkEnd w:id="19"/>
    <w:p>
      <w:pPr>
        <w:jc w:val="center"/>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 in the normal course of business or otherwise, which could affect our financial position and liquidity</w:t>
      </w:r>
      <w:r>
        <w:rPr>
          <w:rFonts w:ascii="Arial" w:cs="Arial" w:eastAsia="Arial" w:hAnsi="Arial"/>
          <w:sz w:val="18"/>
          <w:szCs w:val="18"/>
          <w:color w:val="auto"/>
        </w:rPr>
        <w:t>” for additional discussion.</w:t>
      </w:r>
    </w:p>
    <w:p>
      <w:pPr>
        <w:spacing w:after="0" w:line="207" w:lineRule="exact"/>
        <w:rPr>
          <w:sz w:val="20"/>
          <w:szCs w:val="20"/>
          <w:color w:val="auto"/>
        </w:rPr>
      </w:pPr>
    </w:p>
    <w:p>
      <w:pPr>
        <w:ind w:left="220" w:right="9440" w:hanging="212"/>
        <w:spacing w:after="0" w:line="357" w:lineRule="auto"/>
        <w:tabs>
          <w:tab w:leader="none" w:pos="30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u w:val="single" w:color="auto"/>
          <w:color w:val="auto"/>
        </w:rPr>
        <w:t>Dividend Declaration</w:t>
      </w:r>
    </w:p>
    <w:p>
      <w:pPr>
        <w:jc w:val="both"/>
        <w:ind w:firstLine="216"/>
        <w:spacing w:after="0" w:line="254" w:lineRule="auto"/>
        <w:rPr>
          <w:sz w:val="20"/>
          <w:szCs w:val="20"/>
          <w:color w:val="auto"/>
        </w:rPr>
      </w:pPr>
      <w:r>
        <w:rPr>
          <w:rFonts w:ascii="Arial" w:cs="Arial" w:eastAsia="Arial" w:hAnsi="Arial"/>
          <w:sz w:val="18"/>
          <w:szCs w:val="18"/>
          <w:color w:val="auto"/>
        </w:rPr>
        <w:t>In October 2017, we announced that our Board of Directors had declared a $0.10 per share dividend for stockholders of record on November 13, 2017, and payable on November 27, 2017.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2016-3 Class B EETCs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October 2017, American created one additional pass-through trust which issued approximately $193 million aggregate principal amount of Series 2016-3 Class B EETCs (the 2016-3 Class B EETCs) in connection with the financing of the 2016-3 Aircraft. The proceeds received from the sale of the 2016-3 Class B EETCs were used on the date of issuance of the 2016-3 Class B EETCs to acquire Series B equipment notes issued by American in connection with the financing of the 2016-3 Aircraft.</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These Series B equipment notes bear interest at 3.75% per annum. Interest and principal payments on equipment notes issued in connection with the 2016-3 Class B EETCs are payable semi-annually in April and October of each year, beginning in April 2018.</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2017-2 Class B EETCs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October 2017, American created one additional pass-through trust which issued approximately $221 million aggregate principal amount of Series 2017-2 Class B EETCs (the 2017-2 Class B EETCs) in connection with the financing of the 2017-2 Aircraft. A portion of the net proceeds received from the sale of the Series 2017-2 Class B EETCs was used on the date of issuance of the 2017-2 Class B EETCs to acquire Series B equipment notes issued by American in connection with the financing of certain 2017-2 Aircraft, and the balance of such proceeds is being held in escrow for the benefit of the holders of the 2017-2 Class B EETCs until such time as American issues additional Series B equipment notes to the pass-through trust, which trusts will purchase such additional equipment notes with the escrowed funds. These escrowed funds are not guaranteed by American and are not reported as debt on our condensed consolidated balance sheet because the proceeds held by the depository are not American's assets.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These Series B equipment notes bear interest at 3.70% per annum. Interest and principal payments on equipment notes issued in connection with the 2017-2 Class B EETCs are payable semi-annually in April and October of each year, with interest payments beginning in April 2018 and principal payments beginning in October 2018.</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420"/>
          </w:cols>
          <w:pgMar w:left="240" w:top="576" w:right="239" w:bottom="1440" w:gutter="0" w:footer="0" w:header="0"/>
        </w:sectPr>
      </w:pPr>
    </w:p>
    <w:p>
      <w:pPr>
        <w:spacing w:after="0" w:line="375"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26035</wp:posOffset>
            </wp:positionV>
            <wp:extent cx="16808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500"/>
        <w:spacing w:after="0"/>
        <w:tabs>
          <w:tab w:leader="none" w:pos="78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26035</wp:posOffset>
            </wp:positionV>
            <wp:extent cx="16808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320"/>
        <w:spacing w:after="0"/>
        <w:tabs>
          <w:tab w:leader="none" w:pos="16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45" w:lineRule="exact"/>
        <w:rPr>
          <w:sz w:val="20"/>
          <w:szCs w:val="20"/>
          <w:color w:val="auto"/>
        </w:rPr>
      </w:pPr>
    </w:p>
    <w:p>
      <w:pPr>
        <w:sectPr>
          <w:pgSz w:w="11900" w:h="16838" w:orient="portrait"/>
          <w:cols w:equalWidth="0" w:num="2">
            <w:col w:w="8580" w:space="340"/>
            <w:col w:w="2500"/>
          </w:cols>
          <w:pgMar w:left="240" w:top="576"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ind w:left="380"/>
              <w:spacing w:after="0"/>
              <w:rPr>
                <w:sz w:val="20"/>
                <w:szCs w:val="20"/>
                <w:color w:val="auto"/>
              </w:rPr>
            </w:pPr>
            <w:r>
              <w:rPr>
                <w:rFonts w:ascii="Arial" w:cs="Arial" w:eastAsia="Arial" w:hAnsi="Arial"/>
                <w:sz w:val="18"/>
                <w:szCs w:val="18"/>
                <w:color w:val="auto"/>
              </w:rPr>
              <w:t>Mainline 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7,628</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7,419</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21,981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21,192</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passenger</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5,040</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Cargo</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3,916</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r>
      <w:tr>
        <w:trPr>
          <w:trHeight w:val="243"/>
        </w:trPr>
        <w:tc>
          <w:tcPr>
            <w:tcW w:w="6020" w:type="dxa"/>
            <w:vAlign w:val="bottom"/>
          </w:tcPr>
          <w:p>
            <w:pPr>
              <w:ind w:left="7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31,598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30,377</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Aircraft fuel and related taxes</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3,736</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Salaries, wages and benefits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8,087</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Regional expenses</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4,480</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Other rent and landing fees</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rent</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Selling expenses</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990</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Special items, net</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3,391</w:t>
            </w:r>
          </w:p>
        </w:tc>
      </w:tr>
      <w:tr>
        <w:trPr>
          <w:trHeight w:val="244"/>
        </w:trPr>
        <w:tc>
          <w:tcPr>
            <w:tcW w:w="6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9,650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9,159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28,242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25,864</w:t>
            </w: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4"/>
        </w:trPr>
        <w:tc>
          <w:tcPr>
            <w:tcW w:w="6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3,886</w:t>
            </w:r>
          </w:p>
        </w:tc>
      </w:tr>
      <w:tr>
        <w:trPr>
          <w:trHeight w:val="264"/>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1,445</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76"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52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63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3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2,441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net of tax:</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638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7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57"/>
        </w:trPr>
        <w:tc>
          <w:tcPr>
            <w:tcW w:w="63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74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634</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2,394</w:t>
            </w:r>
          </w:p>
        </w:tc>
      </w:tr>
      <w:tr>
        <w:trPr>
          <w:trHeight w:val="20"/>
        </w:trPr>
        <w:tc>
          <w:tcPr>
            <w:tcW w:w="6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7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6,034</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 and short-term investments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1,599</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Receivables from related parties,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6,810</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Aircraft fuel, spare parts and supplies, net</w:t>
            </w: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1,032</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43"/>
        </w:trPr>
        <w:tc>
          <w:tcPr>
            <w:tcW w:w="76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18,380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17,056</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property and equipment</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Flight equipment</w:t>
            </w: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39,214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36,671</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Ground property and equipment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6,910</w:t>
            </w:r>
          </w:p>
        </w:tc>
      </w:tr>
      <w:tr>
        <w:trPr>
          <w:trHeight w:val="264"/>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Equipment purchase deposits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1,209</w:t>
            </w:r>
          </w:p>
        </w:tc>
      </w:tr>
      <w:tr>
        <w:trPr>
          <w:trHeight w:val="257"/>
        </w:trPr>
        <w:tc>
          <w:tcPr>
            <w:tcW w:w="7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property and equipment, at cost</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48,155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44,790</w:t>
            </w:r>
          </w:p>
        </w:tc>
      </w:tr>
      <w:tr>
        <w:trPr>
          <w:trHeight w:val="264"/>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(13,909)</w:t>
            </w:r>
          </w:p>
        </w:tc>
      </w:tr>
      <w:tr>
        <w:trPr>
          <w:trHeight w:val="257"/>
        </w:trPr>
        <w:tc>
          <w:tcPr>
            <w:tcW w:w="7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33,028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30,881</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4,091</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Intangibles, net of accumulated amortization of $612 and $578, respectively</w:t>
            </w: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2,173</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1,912</w:t>
            </w:r>
          </w:p>
        </w:tc>
      </w:tr>
      <w:tr>
        <w:trPr>
          <w:trHeight w:val="264"/>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1,979</w:t>
            </w:r>
          </w:p>
        </w:tc>
      </w:tr>
      <w:tr>
        <w:trPr>
          <w:trHeight w:val="257"/>
        </w:trPr>
        <w:tc>
          <w:tcPr>
            <w:tcW w:w="7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9,385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10,155</w:t>
            </w:r>
          </w:p>
        </w:tc>
      </w:tr>
      <w:tr>
        <w:trPr>
          <w:trHeight w:val="244"/>
        </w:trPr>
        <w:tc>
          <w:tcPr>
            <w:tcW w:w="7640" w:type="dxa"/>
            <w:vAlign w:val="bottom"/>
          </w:tcPr>
          <w:p>
            <w:pPr>
              <w:ind w:left="10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60,793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58,092</w:t>
            </w: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09"/>
        </w:trPr>
        <w:tc>
          <w:tcPr>
            <w:tcW w:w="7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 and capital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1,546</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salaries and wages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Air traffic liability</w:t>
            </w: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3,912</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Loyalty program liability</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r>
      <w:tr>
        <w:trPr>
          <w:trHeight w:val="264"/>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2,106</w:t>
            </w:r>
          </w:p>
        </w:tc>
      </w:tr>
      <w:tr>
        <w:trPr>
          <w:trHeight w:val="257"/>
        </w:trPr>
        <w:tc>
          <w:tcPr>
            <w:tcW w:w="7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13,672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Long-term debt and capital leases, net of current maturities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20,942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20,718</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7,426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7,800</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3,253</w:t>
            </w:r>
          </w:p>
        </w:tc>
      </w:tr>
      <w:tr>
        <w:trPr>
          <w:trHeight w:val="243"/>
        </w:trPr>
        <w:tc>
          <w:tcPr>
            <w:tcW w:w="764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18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31,789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31,771</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$1.00 par value; 1,000 shares authorized, issued and outstanding</w:t>
            </w:r>
          </w:p>
        </w:tc>
        <w:tc>
          <w:tcPr>
            <w:tcW w:w="18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2"/>
                <w:szCs w:val="22"/>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16,690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16,624</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r>
      <w:tr>
        <w:trPr>
          <w:trHeight w:val="264"/>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w:t>
            </w:r>
          </w:p>
        </w:tc>
      </w:tr>
      <w:tr>
        <w:trPr>
          <w:trHeight w:val="257"/>
        </w:trPr>
        <w:tc>
          <w:tcPr>
            <w:tcW w:w="7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14,410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12,649</w:t>
            </w:r>
          </w:p>
        </w:tc>
      </w:tr>
      <w:tr>
        <w:trPr>
          <w:trHeight w:val="244"/>
        </w:trPr>
        <w:tc>
          <w:tcPr>
            <w:tcW w:w="7640" w:type="dxa"/>
            <w:vAlign w:val="bottom"/>
          </w:tcPr>
          <w:p>
            <w:pPr>
              <w:ind w:left="104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60,793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58,092</w:t>
            </w: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6" w:right="239" w:bottom="949"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76" w:right="239" w:bottom="949"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34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79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2016</w:t>
            </w: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r>
      <w:tr>
        <w:trPr>
          <w:trHeight w:val="263"/>
        </w:trPr>
        <w:tc>
          <w:tcPr>
            <w:tcW w:w="7980" w:type="dxa"/>
            <w:vAlign w:val="bottom"/>
          </w:tcPr>
          <w:p>
            <w:pPr>
              <w:ind w:left="380"/>
              <w:spacing w:after="0"/>
              <w:rPr>
                <w:sz w:val="20"/>
                <w:szCs w:val="20"/>
                <w:color w:val="auto"/>
              </w:rPr>
            </w:pPr>
            <w:r>
              <w:rPr>
                <w:rFonts w:ascii="Arial" w:cs="Arial" w:eastAsia="Arial" w:hAnsi="Arial"/>
                <w:sz w:val="18"/>
                <w:szCs w:val="18"/>
                <w:color w:val="auto"/>
              </w:rPr>
              <w:t>Purchases of short-term investments</w:t>
            </w: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(4,093)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(5,078)</w:t>
            </w:r>
          </w:p>
        </w:tc>
      </w:tr>
      <w:tr>
        <w:trPr>
          <w:trHeight w:val="277"/>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of short-term investments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4,587</w:t>
            </w:r>
          </w:p>
        </w:tc>
      </w:tr>
      <w:tr>
        <w:trPr>
          <w:trHeight w:val="263"/>
        </w:trPr>
        <w:tc>
          <w:tcPr>
            <w:tcW w:w="7980" w:type="dxa"/>
            <w:vAlign w:val="bottom"/>
          </w:tcPr>
          <w:p>
            <w:pPr>
              <w:ind w:left="380"/>
              <w:spacing w:after="0"/>
              <w:rPr>
                <w:sz w:val="20"/>
                <w:szCs w:val="20"/>
                <w:color w:val="auto"/>
              </w:rPr>
            </w:pPr>
            <w:r>
              <w:rPr>
                <w:rFonts w:ascii="Arial" w:cs="Arial" w:eastAsia="Arial" w:hAnsi="Arial"/>
                <w:sz w:val="18"/>
                <w:szCs w:val="18"/>
                <w:color w:val="auto"/>
              </w:rPr>
              <w:t>Purchase of equity investment</w:t>
            </w: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 restricted cash and short-term investments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64"/>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7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5,392</w:t>
            </w:r>
          </w:p>
        </w:tc>
      </w:tr>
      <w:tr>
        <w:trPr>
          <w:trHeight w:val="263"/>
        </w:trPr>
        <w:tc>
          <w:tcPr>
            <w:tcW w:w="7980" w:type="dxa"/>
            <w:vAlign w:val="bottom"/>
          </w:tcPr>
          <w:p>
            <w:pPr>
              <w:ind w:left="380"/>
              <w:spacing w:after="0"/>
              <w:rPr>
                <w:sz w:val="20"/>
                <w:szCs w:val="20"/>
                <w:color w:val="auto"/>
              </w:rPr>
            </w:pPr>
            <w:r>
              <w:rPr>
                <w:rFonts w:ascii="Arial" w:cs="Arial" w:eastAsia="Arial" w:hAnsi="Arial"/>
                <w:sz w:val="18"/>
                <w:szCs w:val="18"/>
                <w:color w:val="auto"/>
              </w:rPr>
              <w:t>Payments on long-term debt and capital leases</w:t>
            </w: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(1,813)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(2,534)</w:t>
            </w:r>
          </w:p>
        </w:tc>
      </w:tr>
      <w:tr>
        <w:trPr>
          <w:trHeight w:val="277"/>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financing activities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7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increase in cash</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at beginning of period</w:t>
            </w:r>
          </w:p>
        </w:tc>
        <w:tc>
          <w:tcPr>
            <w:tcW w:w="10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8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at end of period</w:t>
            </w:r>
          </w:p>
        </w:tc>
        <w:tc>
          <w:tcPr>
            <w:tcW w:w="100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w:t>
            </w:r>
          </w:p>
        </w:tc>
      </w:tr>
      <w:tr>
        <w:trPr>
          <w:trHeight w:val="284"/>
        </w:trPr>
        <w:tc>
          <w:tcPr>
            <w:tcW w:w="79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0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Supplemental information:</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paid, net</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r>
      <w:tr>
        <w:trPr>
          <w:trHeight w:val="257"/>
        </w:trPr>
        <w:tc>
          <w:tcPr>
            <w:tcW w:w="7980" w:type="dxa"/>
            <w:vAlign w:val="bottom"/>
          </w:tcPr>
          <w:p>
            <w:pPr>
              <w:ind w:left="380"/>
              <w:spacing w:after="0"/>
              <w:rPr>
                <w:sz w:val="20"/>
                <w:szCs w:val="20"/>
                <w:color w:val="auto"/>
              </w:rPr>
            </w:pPr>
            <w:r>
              <w:rPr>
                <w:rFonts w:ascii="Arial" w:cs="Arial" w:eastAsia="Arial" w:hAnsi="Arial"/>
                <w:sz w:val="18"/>
                <w:szCs w:val="18"/>
                <w:color w:val="auto"/>
              </w:rPr>
              <w:t>Income taxes paid</w:t>
            </w:r>
          </w:p>
        </w:tc>
        <w:tc>
          <w:tcPr>
            <w:tcW w:w="100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2016. American is the principal wholly-owned subsidiary of American Airlines Group Inc. (AAG). All significant intercompany transactions have been eliminated.</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Inc. (US Airways), a wholly-owned subsidiary of US Airways Group, merged with and into American, with American as the surviving corporation.</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 Certain prior period amounts have been reclassified to conform to the current year presentation.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Revenue</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The new revenue standard applies to all companies that enter into contracts with customers to transfer goods or services and is effective for public entities for interim and annual reporting periods beginning after December 15, 2017. American will adopt the new revenue standard effective January 1, 2018. Entities have the choice to apply the new revenue standard either retrospectively to each reporting period presented or by recognizing the cumulative effect of applying the new revenue standard at the date of initial application and not adjusting comparative information. American will adopt the new revenue standard using the full retrospective method.</w:t>
      </w:r>
    </w:p>
    <w:p>
      <w:pPr>
        <w:spacing w:after="0" w:line="15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is in the process of finalizing how the application of the new revenue standard will impact its condensed consolidated financial statements. American currently expects that the new revenue standard will materially impact its liability for outstanding mileage credits earned by AAdvantage loyalty program members. American currently uses the incremental cost method to account for this portion of its loyalty program liability, which values these mileage credits based on the estimated incremental cost of carrying one additional passenger. The new revenue standard will require American to change its policy and apply a relative selling price approach whereby a portion of each passenger ticket sale attributable to mileage credits earned will be deferred and recognized in passenger revenue upon future mileage redemption. The carrying value of the earned mileage credits recognized in loyalty program liability is expected to be materially greater under the relative selling price approach than the value attributed to these mileage credits under the incremental cost method. The new revenue standard will also require American to reclassify certain ancillary fees to passenger revenue, which are currently included within other operating revenue. See Part I, Item 2. Management’s Discussion and Analysis of Financial Condition and Results of Operations -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for American's preliminary assessment of the quantitative impacts of the new revenue standard on its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Leases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adoption is permitted. American expects to adopt the new lease standard effective January 1, 2019. Entities are required to adopt the new lease standard using a modified retrospective approach for all leases existing at or commencing after the date of initial application with an option to use certain practical expedients. American is currently evaluating how the adoption of the new lease standard will impact its condensed consolidated financial statements. Interpretations are on-going and could have a material impact on American’s implementation. Currently, American expects that the adoption of the new lease standard will have a material impact on its condensed consolidated balance sheet due to the recognition of right-of-use assets and lease liabilities principally for certain leases currently accounted for as operating leases.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Statement of Cash Flows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November 2016, the FASB issued ASU 2016-18, “Statement of Cash Flows (Topic 230): Restricted Cash.” ASU 2016-18 requires that the change in total cash, cash at beginning of period and cash at end of period on the statement of cash flows include restricted cash and restricted cash equivalents. ASU 2016-18 also requires companies who report cash and restricted cash separately on the balance sheet to reconcile those amounts to the statement of cash flows. This standard is to be applied retrospectively to each period presented and is effective for public entities for fiscal years beginning after December 15, 2017, and interim periods within those fiscal years. Early adoption is permitted. American expects to adopt this new standard effective January 1, 2018. This standard is not expected to have a material impact on American’s condensed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Retirement Benefits</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March 2017, the FASB issued ASU 2017-07, “Compensation – Retirement Benefits (Topic 715): Improving the Presentation of Net Periodic Pension Cost and Net Periodic Postretirement Benefit Cost.” ASU 2017-07 requires an entity to present the service cost component of net benefit cost in the income statement line items where it reports compensation cost. Entities will present all other components of net benefit cost outside of operating income, if this subtotal is presented. This standard is to be applied retrospectively to each period presented and is effective for public entities for fiscal years beginning after December 15, 2017, and interim periods within those fiscal years. American will adopt this standard on January 1, 2018. The new standard will require all components of American’s net periodic benefit cost (income), with the exception of service cost, currently reported within operating expenses as salaries, wages and benefits, to be reclassified and reported within nonoperating income (expense). The adoption of this new standard will have no impact on pre-tax income or net income reported. See Note 6 for American’s current components of net periodic benefit cost (income).</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Financial Instruments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January 2016, the FASB issued ASU 2016-01, “Financial Instruments - Overall (Subtopic 825-10)." ASU 2016-01 makes several modifications to Subtopic 825-10, including the elimination of the available-for-sale classification of equity investments, and it requires equity investments with readily determinable fair values to be measured at fair value with changes in fair value recognized in net income. ASU 2016-01 is effective for interim and annual periods beginning after December 15, 2017. American will adopt this standard on January 1, 2018. Based on American's portfolio of investments as of September 30, 2017, it does not expect the adoption of ASU 2016-01 to have a material impact on its condensed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on the condensed consolidated statements of operations consisted of the following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1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9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2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 and</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(3)</w:t>
            </w:r>
          </w:p>
        </w:tc>
        <w:tc>
          <w:tcPr>
            <w:tcW w:w="9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9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Mainline operating special items, net</w:t>
            </w:r>
          </w:p>
        </w:tc>
        <w:tc>
          <w:tcPr>
            <w:tcW w:w="9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450</w:t>
            </w:r>
          </w:p>
        </w:tc>
      </w:tr>
      <w:tr>
        <w:trPr>
          <w:trHeight w:val="290"/>
        </w:trPr>
        <w:tc>
          <w:tcPr>
            <w:tcW w:w="212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(4)</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1"/>
                <w:szCs w:val="21"/>
                <w:color w:val="auto"/>
                <w:vertAlign w:val="superscript"/>
              </w:rPr>
              <w:t>(5)</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57"/>
        </w:trPr>
        <w:tc>
          <w:tcPr>
            <w:tcW w:w="2120" w:type="dxa"/>
            <w:vAlign w:val="bottom"/>
            <w:tcBorders>
              <w:bottom w:val="single" w:sz="8" w:color="auto"/>
            </w:tcBorders>
          </w:tcPr>
          <w:p>
            <w:pPr>
              <w:spacing w:after="0"/>
              <w:rPr>
                <w:sz w:val="22"/>
                <w:szCs w:val="22"/>
                <w:color w:val="auto"/>
              </w:rPr>
            </w:pPr>
          </w:p>
        </w:tc>
        <w:tc>
          <w:tcPr>
            <w:tcW w:w="2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296" w:lineRule="exact"/>
        <w:rPr>
          <w:sz w:val="20"/>
          <w:szCs w:val="20"/>
          <w:color w:val="auto"/>
        </w:rPr>
      </w:pPr>
    </w:p>
    <w:p>
      <w:pPr>
        <w:jc w:val="both"/>
        <w:ind w:left="500" w:hanging="330"/>
        <w:spacing w:after="0" w:line="233"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periods also included costs related to alignment of labor union contracts, re-branded uniforms, relocation and severance.</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principally related to Merger integration expenses.</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Nonoperating special items, net primarily consisted of debt issuance and extinguishment costs associated with term loan refinancings. Additionally, the 2016 nine-month period included costs associated with a bond refinancing.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2013 Credit Facilities, variable interest rate of 3.24%, installments through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1,843</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Credit Facilities, variable interest rate of 3.24%, installments through 2021</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April 2016 Credit Facilities, variable interest rate of 3.74%, installments through 2023</w:t>
            </w:r>
          </w:p>
        </w:tc>
        <w:tc>
          <w:tcPr>
            <w:tcW w:w="160" w:type="dxa"/>
            <w:vAlign w:val="bottom"/>
          </w:tcPr>
          <w:p>
            <w:pPr>
              <w:spacing w:after="0"/>
              <w:rPr>
                <w:sz w:val="22"/>
                <w:szCs w:val="22"/>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2016 Credit Facilities, variable interest rate of 3.73%, installments through 2023</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Aircraft enhanced equipment trust certificates (EETCs), fixed interest rates ranging from 3.00%</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880" w:type="dxa"/>
            <w:vAlign w:val="bottom"/>
          </w:tcPr>
          <w:p>
            <w:pPr>
              <w:ind w:left="340"/>
              <w:spacing w:after="0"/>
              <w:rPr>
                <w:sz w:val="20"/>
                <w:szCs w:val="20"/>
                <w:color w:val="auto"/>
              </w:rPr>
            </w:pPr>
            <w:r>
              <w:rPr>
                <w:rFonts w:ascii="Arial" w:cs="Arial" w:eastAsia="Arial" w:hAnsi="Arial"/>
                <w:sz w:val="18"/>
                <w:szCs w:val="18"/>
                <w:color w:val="auto"/>
              </w:rPr>
              <w:t>to 9.75%, maturing from 2018 to 2029</w:t>
            </w:r>
          </w:p>
        </w:tc>
        <w:tc>
          <w:tcPr>
            <w:tcW w:w="16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10,912</w:t>
            </w:r>
          </w:p>
        </w:tc>
      </w:tr>
      <w:tr>
        <w:trPr>
          <w:trHeight w:val="23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loans and other notes payable, fixed and variable interest rates ranging from 2.34%</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 8.99%, maturing from 2018 to 2029</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5,343</w:t>
            </w: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Special facility revenue bonds, fixed interest rates ranging from 5.00% to 5.50%, maturing from</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880" w:type="dxa"/>
            <w:vAlign w:val="bottom"/>
          </w:tcPr>
          <w:p>
            <w:pPr>
              <w:ind w:left="340"/>
              <w:spacing w:after="0"/>
              <w:rPr>
                <w:sz w:val="20"/>
                <w:szCs w:val="20"/>
                <w:color w:val="auto"/>
              </w:rPr>
            </w:pPr>
            <w:r>
              <w:rPr>
                <w:rFonts w:ascii="Arial" w:cs="Arial" w:eastAsia="Arial" w:hAnsi="Arial"/>
                <w:sz w:val="18"/>
                <w:szCs w:val="18"/>
                <w:color w:val="auto"/>
              </w:rPr>
              <w:t>2018 to 2035</w:t>
            </w:r>
          </w:p>
        </w:tc>
        <w:tc>
          <w:tcPr>
            <w:tcW w:w="16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862</w:t>
            </w:r>
          </w:p>
        </w:tc>
      </w:tr>
      <w:tr>
        <w:trPr>
          <w:trHeight w:val="23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secured obligations, fixed interest rates ranging from 3.60% to 12.24%, maturing from</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2017 to 2028</w:t>
            </w:r>
          </w:p>
        </w:tc>
        <w:tc>
          <w:tcPr>
            <w:tcW w:w="1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Total long-term debt and capital lease obligations</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23,142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22,793</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Total unamortized debt discount, premium and issuance costs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1,859</w:t>
            </w: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20,718</w:t>
            </w: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September 30, 2017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63"/>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4"/>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in the future.</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2017 Aircraft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2017-2 EETCs</w:t>
      </w:r>
    </w:p>
    <w:p>
      <w:pPr>
        <w:spacing w:after="0" w:line="108"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18"/>
          <w:szCs w:val="18"/>
          <w:color w:val="auto"/>
        </w:rPr>
        <w:t>In August 2017, American created two pass-through trusts which issued approximately $797 million aggregate principal amount of Series 2017-2 Class AA and Class A EETCs (the 2017-2 EETCs) in connection with the financing of 30 aircraft previously delivered to American or scheduled to be delivered to American through April 2018 (the 2017-2 Aircraft). A portion of the net proceeds received from the sale of the 2017-2 EETCs has been used to acquire Series AA and A equipment notes issued by American to the pass-through trusts and the balance of such proceeds is being held in escrow for the benefit of the holders of the 2017-2 EETCs until such time as American issues additional Series</w:t>
      </w:r>
    </w:p>
    <w:p>
      <w:pPr>
        <w:spacing w:after="0" w:line="2" w:lineRule="exact"/>
        <w:rPr>
          <w:sz w:val="20"/>
          <w:szCs w:val="20"/>
          <w:color w:val="auto"/>
        </w:rPr>
      </w:pPr>
    </w:p>
    <w:p>
      <w:pPr>
        <w:jc w:val="both"/>
        <w:ind w:firstLine="8"/>
        <w:spacing w:after="0" w:line="256" w:lineRule="auto"/>
        <w:tabs>
          <w:tab w:leader="none" w:pos="3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 A equipment notes to the pass-through trusts, which trusts will purchase such additional equipment notes with the escrowed funds. These escrowed funds are not guaranteed by American and are not reported as debt on American's condensed consolidated balance sheet because the proceeds held by the depository are not American's assets.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September 30, 2017, approximately $253 million of the escrowed proceeds from the 2017-2 EETCs have been used to purchase equipment notes issued by American. Interest and principal payments on equipment notes issued in connection with the 2017-2 EETCs are payable semi-annually in April and October of each year, with interest payments beginning in April 2018 and principal payments beginning in October 2018. These equipment notes are secured by liens on the aircraft financed with the proceeds of the 2017-2 EETCs.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Certain information regarding the 2017-2 EETC equipment notes and the remaining escrowed proceeds of the 2017-2 EETCs, as of September 30, 2017, is set forth in the table below.</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2017-2 EETCs</w:t>
            </w:r>
          </w:p>
        </w:tc>
      </w:tr>
      <w:tr>
        <w:trPr>
          <w:trHeight w:val="264"/>
        </w:trPr>
        <w:tc>
          <w:tcPr>
            <w:tcW w:w="74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b w:val="1"/>
                <w:bCs w:val="1"/>
                <w:color w:val="auto"/>
              </w:rPr>
              <w:t>Series AA</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52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9"/>
              </w:rPr>
              <w:t>$545 million</w:t>
            </w: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$252 million</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Remaining escrowed proceeds</w:t>
            </w:r>
          </w:p>
        </w:tc>
        <w:tc>
          <w:tcPr>
            <w:tcW w:w="1520" w:type="dxa"/>
            <w:vAlign w:val="bottom"/>
          </w:tcPr>
          <w:p>
            <w:pPr>
              <w:jc w:val="center"/>
              <w:ind w:left="314"/>
              <w:spacing w:after="0"/>
              <w:rPr>
                <w:sz w:val="20"/>
                <w:szCs w:val="20"/>
                <w:color w:val="auto"/>
              </w:rPr>
            </w:pPr>
            <w:r>
              <w:rPr>
                <w:rFonts w:ascii="Arial" w:cs="Arial" w:eastAsia="Arial" w:hAnsi="Arial"/>
                <w:sz w:val="18"/>
                <w:szCs w:val="18"/>
                <w:color w:val="auto"/>
                <w:w w:val="99"/>
              </w:rPr>
              <w:t>$372 million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$172 million</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152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7"/>
              </w:rPr>
              <w:t>3.35%</w:t>
            </w:r>
          </w:p>
        </w:tc>
        <w:tc>
          <w:tcPr>
            <w:tcW w:w="2460" w:type="dxa"/>
            <w:vAlign w:val="bottom"/>
            <w:gridSpan w:val="3"/>
            <w:shd w:val="clear" w:color="auto" w:fill="CCEEFF"/>
          </w:tcPr>
          <w:p>
            <w:pPr>
              <w:jc w:val="center"/>
              <w:ind w:left="439"/>
              <w:spacing w:after="0"/>
              <w:rPr>
                <w:sz w:val="20"/>
                <w:szCs w:val="20"/>
                <w:color w:val="auto"/>
              </w:rPr>
            </w:pPr>
            <w:r>
              <w:rPr>
                <w:rFonts w:ascii="Arial" w:cs="Arial" w:eastAsia="Arial" w:hAnsi="Arial"/>
                <w:sz w:val="18"/>
                <w:szCs w:val="18"/>
                <w:color w:val="auto"/>
                <w:w w:val="97"/>
              </w:rPr>
              <w:t>3.60%</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1520" w:type="dxa"/>
            <w:vAlign w:val="bottom"/>
          </w:tcPr>
          <w:p>
            <w:pPr>
              <w:jc w:val="center"/>
              <w:ind w:left="334"/>
              <w:spacing w:after="0"/>
              <w:rPr>
                <w:sz w:val="20"/>
                <w:szCs w:val="20"/>
                <w:color w:val="auto"/>
              </w:rPr>
            </w:pPr>
            <w:r>
              <w:rPr>
                <w:rFonts w:ascii="Arial" w:cs="Arial" w:eastAsia="Arial" w:hAnsi="Arial"/>
                <w:sz w:val="18"/>
                <w:szCs w:val="18"/>
                <w:color w:val="auto"/>
              </w:rPr>
              <w:t>October 2029</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October 2029</w:t>
            </w:r>
          </w:p>
        </w:tc>
      </w:tr>
    </w:tbl>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2017-1 EETCs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January 2017, American created three pass-through trusts which issued approximately $983 million aggregate principal amount of Series 2017-1 Class AA, Class A and Class B EETCs (the 2017-1 EETCs) in connection with the financing of 24 aircraft delivered to American through May 2017 (the 2017-1 Aircraft).</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During the first six months of 2017, all of the net proceeds received from the sale of the 2017-1 EETCs were used to purchase equipment notes issued by American in connection with the financing of the 2017-1 Aircraft. Interest and principal payments on equipment notes issued in connection with the 2017-1 EETCs are payable semi-annually in February and August of each year, with interest payments that began in August 2017 and principal payments beginning in February 2018. These equipment notes are secured by liens on the 2017-1 Aircraft.</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2017-1 EETC equipment notes, as of September 30, 2017, is set forth in the table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2017-1 EETCs</w:t>
            </w:r>
          </w:p>
        </w:tc>
        <w:tc>
          <w:tcPr>
            <w:tcW w:w="2060" w:type="dxa"/>
            <w:vAlign w:val="bottom"/>
            <w:tcBorders>
              <w:bottom w:val="single" w:sz="8" w:color="auto"/>
            </w:tcBorders>
          </w:tcPr>
          <w:p>
            <w:pPr>
              <w:spacing w:after="0"/>
              <w:rPr>
                <w:sz w:val="17"/>
                <w:szCs w:val="17"/>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$537 million</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$248 million</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$198 million</w:t>
            </w:r>
          </w:p>
        </w:tc>
      </w:tr>
      <w:tr>
        <w:trPr>
          <w:trHeight w:val="263"/>
        </w:trPr>
        <w:tc>
          <w:tcPr>
            <w:tcW w:w="504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3.65%</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4.00%</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4.95%</w:t>
            </w: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2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February 2029</w:t>
            </w:r>
          </w:p>
        </w:tc>
        <w:tc>
          <w:tcPr>
            <w:tcW w:w="2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February 2029</w:t>
            </w:r>
          </w:p>
        </w:tc>
        <w:tc>
          <w:tcPr>
            <w:tcW w:w="2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2025</w:t>
            </w: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2016-3 EETCs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During the first quarter of 2017, all remaining net proceeds of the Series 2016-3 Class AA and Class A EETCs (the 2016-3 EETCs), in the amount of $109 million, were used to purchase equipment notes issued by American in connection with the financing of two of the 25 aircraft financed under the 2016-3 EETCs (such 25 aircraft, the 2016-3 Aircraft). Interest and principal payments on equipment notes issued in connection with the 2016-3 EETCs are payable semi-annually in April and October of each year, with interest payments that began in April 2017 and principal payments beginning in October 2017. These equipment notes are secured by liens on the 2016-3 Aircraft.</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regarding the 2016-3 EETC equipment notes, as of September 30, 2017, is set forth in the table below.</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2016-3 EETCs</w:t>
            </w:r>
          </w:p>
        </w:tc>
      </w:tr>
      <w:tr>
        <w:trPr>
          <w:trHeight w:val="264"/>
        </w:trPr>
        <w:tc>
          <w:tcPr>
            <w:tcW w:w="74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ind w:left="354"/>
              <w:spacing w:after="0"/>
              <w:rPr>
                <w:sz w:val="20"/>
                <w:szCs w:val="20"/>
                <w:color w:val="auto"/>
              </w:rPr>
            </w:pPr>
            <w:r>
              <w:rPr>
                <w:rFonts w:ascii="Arial" w:cs="Arial" w:eastAsia="Arial" w:hAnsi="Arial"/>
                <w:sz w:val="14"/>
                <w:szCs w:val="14"/>
                <w:b w:val="1"/>
                <w:bCs w:val="1"/>
                <w:color w:val="auto"/>
              </w:rPr>
              <w:t>Series AA</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48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9"/>
              </w:rPr>
              <w:t>$558 million</w:t>
            </w: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$256 million</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Fixed interest rate per annum</w:t>
            </w:r>
          </w:p>
        </w:tc>
        <w:tc>
          <w:tcPr>
            <w:tcW w:w="1480" w:type="dxa"/>
            <w:vAlign w:val="bottom"/>
          </w:tcPr>
          <w:p>
            <w:pPr>
              <w:jc w:val="center"/>
              <w:ind w:left="374"/>
              <w:spacing w:after="0"/>
              <w:rPr>
                <w:sz w:val="20"/>
                <w:szCs w:val="20"/>
                <w:color w:val="auto"/>
              </w:rPr>
            </w:pPr>
            <w:r>
              <w:rPr>
                <w:rFonts w:ascii="Arial" w:cs="Arial" w:eastAsia="Arial" w:hAnsi="Arial"/>
                <w:sz w:val="18"/>
                <w:szCs w:val="18"/>
                <w:color w:val="auto"/>
                <w:w w:val="97"/>
              </w:rPr>
              <w:t>3.00%</w:t>
            </w:r>
          </w:p>
        </w:tc>
        <w:tc>
          <w:tcPr>
            <w:tcW w:w="2500" w:type="dxa"/>
            <w:vAlign w:val="bottom"/>
            <w:gridSpan w:val="3"/>
          </w:tcPr>
          <w:p>
            <w:pPr>
              <w:jc w:val="center"/>
              <w:ind w:left="479"/>
              <w:spacing w:after="0"/>
              <w:rPr>
                <w:sz w:val="20"/>
                <w:szCs w:val="20"/>
                <w:color w:val="auto"/>
              </w:rPr>
            </w:pPr>
            <w:r>
              <w:rPr>
                <w:rFonts w:ascii="Arial" w:cs="Arial" w:eastAsia="Arial" w:hAnsi="Arial"/>
                <w:sz w:val="18"/>
                <w:szCs w:val="18"/>
                <w:color w:val="auto"/>
                <w:w w:val="97"/>
              </w:rPr>
              <w:t>3.25%</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w:t>
            </w:r>
          </w:p>
        </w:tc>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2028</w:t>
            </w: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2028</w:t>
            </w:r>
          </w:p>
        </w:tc>
      </w:tr>
    </w:tbl>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Equipment Loans and Other Notes Payable Issued in 2017</w:t>
      </w:r>
    </w:p>
    <w:p>
      <w:pPr>
        <w:spacing w:after="0" w:line="10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the first nine months of 2017, American entered into agreements under which it borrowed $815 million in connection with the financing of certain aircraft. Debt incurred under these agreements matures in 2021 through 2029.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2017 Other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2013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March 2017, American and AAG entered into the Second Amendment to the Amended and Restated Credit and Guaranty Agreement, amending the Amended and Restated Credit and Guaranty Agreement dated as of May 21, 2015 (which amended and restated the Credit and Guaranty Agreement dated as of June 27, 2013), as previously amended by the First Amendment to Amended and Restated Credit and Guaranty Agreement dated as of October 26, 2015, pursuant to which American refinanced the $1.8 billion term loan facility due June 2020 established thereunder (the 2013 Term Loan Facility and, together with the $1.4 billion revolving credit facility established under such agreement (the 2013 Revolving Facility), the 2013 Credit Facilities) to reduce the LIBOR margin from 2.50% to 2.00% and the base rate margin from 1.50% to 1.00%.</w:t>
      </w:r>
    </w:p>
    <w:p>
      <w:pPr>
        <w:spacing w:after="0" w:line="15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August 2017, American and AAG entered into the Third Amendment to the Amended and Restated Credit and Guaranty Agreement pursuant to which the maturity date of the 2013 Revolving Facility was extended to October 2022, the LIBOR margin thereon was reduced from 3.00% to 2.25%, and the maximum principal amount of such facility was reduced to $1.2 billion. As of September 30, 2017, approximately $1.8 billion of principal was outstanding under the 2013 Term Loan Facility and there were no borrowings or letters of credit outstanding under the 2013 Revolving Facility.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June 2017, American and AAG entered into the Third Amendment to the Amended and Restated Credit and Guaranty Agreement, amending the Amended and Restated Credit and Guaranty Agreement dated as of April 20, 2015 (which amended and restated the Credit and Guaranty Agreement dated as of October 10, 2014), as previously amended by the First Amendment to Amended and Restated Credit and Guaranty Agreement dated as of October 26, 2015 and the Second Amendment to Amended and Restated Credit and Guaranty Agreement dated as of September 22, 2016, pursuant to which American refinanced the $735 million term loan facility due October 2021 established thereunder (the 2014 Term Loan Facility and, together with the $1.025 billion revolving credit facility established under such agreement (the 2014 Revolving Facility), the 2014 Credit Facilities) to reduce the LIBOR margin from 2.50% to 2.00% and the base rate margin from 1.50% to 1.00%.</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August 2017, American and AAG entered into the Fourth Amendment to the Amended and Restated Credit and Guaranty Agreement pursuant to which the maturity date of the 2014 Revolving Facility was extended to October 2022, the LIBOR margin thereon was reduced from 3.00% to 2.25%, and the maximum principal amount of such facility was reduced to $1.0 billion. As of September 30, 2017, approximately $ 735 million of principal was outstanding under the 2014 Term Loan Facility and there were no borrowings or letters of credit outstanding under the 2014 Revolving Facility.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April 2016 Credit Facilities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August 2017, American and AAG entered into the Second Amendment to the Credit and Guaranty Agreement, amending the Credit and Guaranty Agreement dated as of April 29, 2016 (the April 2016 Credit Facilities), as previously amended by the First Amendment to the Credit and Guaranty Agreement, dated as of October 31, 2016, pursuant to which a new $300 million revolving credit facility (the April 2016 Revolving Facility) was established with a maturity date of October 2022 and a LIBOR margin of 2.25%. As of September 30, 2017, approximately $990 million of principal was outstanding under the term loan facility under the April 2016 Credit Facilities and there were no borrowings or letters of credit outstanding under the April 2016 Revolving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At December 31, 2016, American had approximately $11.3 billion of gross net operating losses (NOLs) carried over from prior taxable years (NOL Carryforwards) to reduce future federal taxable income, substantially all of which are expected to be available for use in 2017. American is a member of AAG’s consolidated federal and certain state income tax returns. The amount of federal NOL Carryforwards available in those returns is $10.5 billion, substantially all of which is expected to be available for use in 2017. The federal NOL Carryforwards will expire beginning in 2022 if unused. American also had approximately $3.4 billion of NOL Carryforwards to reduce future state taxable income at December 31, 2016, which will expire in years 2017 through 2034 if unused.</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At December 31, 2016, American had an alternative minimum tax credit carryforward of approximately $452 million available for federal income tax purposes, which is available for an indefinite period.</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the three and nine months ended September 30, 2017, American recorded an income tax provision of $395 million and $1.0 billion, respectively, which was substantially non-cash due to the utilization of the NOLs described above. Substantially all of American’s income before income taxes is attributable to the United States.</w:t>
      </w:r>
    </w:p>
    <w:p>
      <w:pPr>
        <w:sectPr>
          <w:pgSz w:w="11900" w:h="16838" w:orient="portrait"/>
          <w:cols w:equalWidth="0" w:num="1">
            <w:col w:w="11420"/>
          </w:cols>
          <w:pgMar w:left="240" w:top="333"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33"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right="6760" w:hanging="212"/>
        <w:spacing w:after="0" w:line="378" w:lineRule="auto"/>
        <w:tabs>
          <w:tab w:leader="none" w:pos="204"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16"/>
        <w:spacing w:after="0" w:line="254"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nine months ended September 30, 2017.</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Fair Value Measurements as of September 30, 2017</w:t>
            </w:r>
          </w:p>
        </w:tc>
        <w:tc>
          <w:tcPr>
            <w:tcW w:w="104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2"/>
                <w:szCs w:val="22"/>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44"/>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5,818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5,545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American’s short-term investments mature in one year or less except for $1.2 billion of bank notes/certificates of deposit/time deposits and $341 million of corporate obligations.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2016</w:t>
            </w:r>
          </w:p>
        </w:tc>
      </w:tr>
      <w:tr>
        <w:trPr>
          <w:trHeight w:val="175"/>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56"/>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22,912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23,839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22,577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23,181</w:t>
            </w:r>
          </w:p>
        </w:tc>
      </w:tr>
    </w:tbl>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Investments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has an approximate 25% ownership interest in Republic Airways Holdings Inc. (Republic), which it received in the second quarter of 2017 in consideration for its unsecured claim in Republic’s bankruptcy case. This ownership interest is accounted for under the equity method and American's portion of Republic’s financial results is recognized within other, net on the condensed consolidated statements of operations.</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Additionally, in the third quarter of 2017, American acquired 2.7% of the outstanding shares of China Southern Airlines Company Limited for $203 million. Since American's subscription agreement restricts the sale or transfer of these shares for three years, American accounts for this investment under the cost method.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provide the components of net periodic benefit cost (income) (in millions):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5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Pension Benefits</w:t>
            </w:r>
          </w:p>
        </w:tc>
        <w:tc>
          <w:tcPr>
            <w:tcW w:w="29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Postretirement Benefits</w:t>
            </w:r>
          </w:p>
        </w:tc>
      </w:tr>
      <w:tr>
        <w:trPr>
          <w:trHeight w:val="258"/>
        </w:trPr>
        <w:tc>
          <w:tcPr>
            <w:tcW w:w="5320" w:type="dxa"/>
            <w:vAlign w:val="bottom"/>
          </w:tcPr>
          <w:p>
            <w:pPr>
              <w:spacing w:after="0"/>
              <w:rPr>
                <w:sz w:val="20"/>
                <w:szCs w:val="20"/>
                <w:color w:val="auto"/>
              </w:rPr>
            </w:pPr>
            <w:r>
              <w:rPr>
                <w:rFonts w:ascii="Arial" w:cs="Arial" w:eastAsia="Arial" w:hAnsi="Arial"/>
                <w:sz w:val="14"/>
                <w:szCs w:val="14"/>
                <w:b w:val="1"/>
                <w:bCs w:val="1"/>
                <w:color w:val="auto"/>
              </w:rPr>
              <w:t>Three Months Ended September 30,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6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52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service cost (benefit)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Unrecognized net loss (gain)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periodic benefit cost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58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40"/>
        </w:trPr>
        <w:tc>
          <w:tcPr>
            <w:tcW w:w="5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7"/>
        </w:trPr>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-882650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-539750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-196850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9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Pension Benefits</w:t>
            </w:r>
          </w:p>
        </w:tc>
        <w:tc>
          <w:tcPr>
            <w:tcW w:w="29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Postretirement Benefits</w:t>
            </w:r>
          </w:p>
        </w:tc>
      </w:tr>
      <w:tr>
        <w:trPr>
          <w:trHeight w:val="258"/>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6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52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bl>
    <w:p>
      <w:pPr>
        <w:spacing w:after="0" w:line="1" w:lineRule="exact"/>
        <w:rPr>
          <w:sz w:val="20"/>
          <w:szCs w:val="20"/>
          <w:color w:val="auto"/>
        </w:rPr>
      </w:pPr>
    </w:p>
    <w:p>
      <w:pPr>
        <w:sectPr>
          <w:pgSz w:w="11900" w:h="16838" w:orient="portrait"/>
          <w:cols w:equalWidth="0" w:num="2">
            <w:col w:w="4640" w:space="720"/>
            <w:col w:w="606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7"/>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64"/>
        </w:trPr>
        <w:tc>
          <w:tcPr>
            <w:tcW w:w="5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During the first nine months of 2017, American contributed $281 million to its defined benefit pension plans, including supplemental contributions of $256 million in addition to a $25 million minimum required cash contribution.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2"/>
        </w:trPr>
        <w:tc>
          <w:tcPr>
            <w:tcW w:w="2120" w:type="dxa"/>
            <w:vAlign w:val="bottom"/>
            <w:tcBorders>
              <w:bottom w:val="single" w:sz="8" w:color="CCEEFF"/>
            </w:tcBorders>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50"/>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r>
      <w:tr>
        <w:trPr>
          <w:trHeight w:val="263"/>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1"/>
                <w:szCs w:val="11"/>
                <w:color w:val="auto"/>
              </w:rPr>
              <w:t>(2)</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4"/>
        </w:trPr>
        <w:tc>
          <w:tcPr>
            <w:tcW w:w="63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3"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ectPr>
          <w:pgSz w:w="11900" w:h="16838" w:orient="portrait"/>
          <w:cols w:equalWidth="0" w:num="1">
            <w:col w:w="11420"/>
          </w:cols>
          <w:pgMar w:left="240" w:top="333" w:right="239" w:bottom="1440" w:gutter="0" w:footer="0" w:header="0"/>
          <w:type w:val="continuous"/>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333" w:right="2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OF AMERICAN AIRLINES,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r>
      <w:tr>
        <w:trPr>
          <w:trHeight w:val="175"/>
        </w:trPr>
        <w:tc>
          <w:tcPr>
            <w:tcW w:w="4420" w:type="dxa"/>
            <w:vAlign w:val="bottom"/>
          </w:tcPr>
          <w:p>
            <w:pPr>
              <w:spacing w:after="0"/>
              <w:rPr>
                <w:sz w:val="15"/>
                <w:szCs w:val="15"/>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2"/>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420" w:type="dxa"/>
            <w:vAlign w:val="bottom"/>
          </w:tcPr>
          <w:p>
            <w:pPr>
              <w:spacing w:after="0"/>
              <w:rPr>
                <w:sz w:val="17"/>
                <w:szCs w:val="17"/>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442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0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540" w:hanging="19"/>
        <w:spacing w:after="0" w:line="263"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32" w:lineRule="exact"/>
        <w:rPr>
          <w:sz w:val="20"/>
          <w:szCs w:val="20"/>
          <w:color w:val="auto"/>
        </w:rPr>
      </w:pPr>
    </w:p>
    <w:p>
      <w:pPr>
        <w:sectPr>
          <w:pgSz w:w="11900" w:h="16838" w:orient="portrait"/>
          <w:cols w:equalWidth="0" w:num="2">
            <w:col w:w="8460" w:space="680"/>
            <w:col w:w="2280"/>
          </w:cols>
          <w:pgMar w:left="240" w:top="333"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 and other</w:t>
      </w:r>
    </w:p>
    <w:p>
      <w:pPr>
        <w:ind w:left="40"/>
        <w:spacing w:after="0"/>
        <w:rPr>
          <w:sz w:val="20"/>
          <w:szCs w:val="20"/>
          <w:color w:val="auto"/>
        </w:rPr>
      </w:pPr>
      <w:r>
        <w:rPr>
          <w:rFonts w:ascii="Arial" w:cs="Arial" w:eastAsia="Arial" w:hAnsi="Arial"/>
          <w:sz w:val="18"/>
          <w:szCs w:val="18"/>
          <w:color w:val="auto"/>
        </w:rPr>
        <w:t>postretirement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Prior service cost (benefit)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2960" w:type="dxa"/>
            <w:vAlign w:val="bottom"/>
          </w:tcPr>
          <w:p>
            <w:pPr>
              <w:jc w:val="right"/>
              <w:ind w:right="430"/>
              <w:spacing w:after="0"/>
              <w:rPr>
                <w:sz w:val="20"/>
                <w:szCs w:val="20"/>
                <w:color w:val="auto"/>
              </w:rPr>
            </w:pPr>
            <w:r>
              <w:rPr>
                <w:rFonts w:ascii="Arial" w:cs="Arial" w:eastAsia="Arial" w:hAnsi="Arial"/>
                <w:sz w:val="18"/>
                <w:szCs w:val="18"/>
                <w:color w:val="auto"/>
              </w:rPr>
              <w:t>Salaries, wages and benefits</w:t>
            </w:r>
          </w:p>
        </w:tc>
      </w:tr>
      <w:tr>
        <w:trPr>
          <w:trHeight w:val="277"/>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5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52   Salaries, wages and benefits</w:t>
            </w:r>
          </w:p>
        </w:tc>
      </w:tr>
      <w:tr>
        <w:trPr>
          <w:trHeight w:val="244"/>
        </w:trPr>
        <w:tc>
          <w:tcPr>
            <w:tcW w:w="446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96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Regional Expenses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Expenses associated with American’s third-party regional carriers operating under the brand name American Eagle are classified as regional expenses on the condensed consolidated statements of operations. Regional expenses consist of the following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308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4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249</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Capacity purchases from third-party regional carriers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w:t>
            </w: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4,480</w:t>
            </w:r>
          </w:p>
        </w:tc>
      </w:tr>
      <w:tr>
        <w:trPr>
          <w:trHeight w:val="20"/>
        </w:trPr>
        <w:tc>
          <w:tcPr>
            <w:tcW w:w="5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represents the net receivables (payables) to related parties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76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AAG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10,618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8,981</w:t>
            </w:r>
          </w:p>
        </w:tc>
      </w:tr>
      <w:tr>
        <w:trPr>
          <w:trHeight w:val="270"/>
        </w:trPr>
        <w:tc>
          <w:tcPr>
            <w:tcW w:w="7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r>
      <w:tr>
        <w:trPr>
          <w:trHeight w:val="244"/>
        </w:trPr>
        <w:tc>
          <w:tcPr>
            <w:tcW w:w="7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6,810</w:t>
            </w:r>
          </w:p>
        </w:tc>
      </w:tr>
      <w:tr>
        <w:trPr>
          <w:trHeight w:val="20"/>
        </w:trPr>
        <w:tc>
          <w:tcPr>
            <w:tcW w:w="21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5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bl>
    <w:p>
      <w:pPr>
        <w:spacing w:after="0" w:line="296" w:lineRule="exact"/>
        <w:rPr>
          <w:sz w:val="20"/>
          <w:szCs w:val="20"/>
          <w:color w:val="auto"/>
        </w:rPr>
      </w:pPr>
    </w:p>
    <w:p>
      <w:pPr>
        <w:ind w:left="500" w:right="20" w:hanging="330"/>
        <w:spacing w:after="0" w:line="225"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share repurchase and dividend programs.</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3"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September 30, 2017, there were approximately 24.5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American but rather will be distributed to former AMR stockholders.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w:t>
      </w:r>
    </w:p>
    <w:p>
      <w:pPr>
        <w:spacing w:after="0" w:line="13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American received a Civil Investigative Demand (CID) from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Justice (DOJ) as part of an investigation into whether there have been illegal agreements or coordination of air passenger capacity. The CID seeks documents and other information from American, and other airlines have announced that they have received similar requests. American is cooperating fully with the DOJ investigation. In addition, subsequent to announcement of the delivery of CIDs by the DOJ, American,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October 28, 2016, the Court denied a motion by the airline defendants to dismiss all claims in the class actions. Both the DOJ investigation and these lawsuits are in their relatively early stages and American intends to defend these matters vigorously.</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May 12, 2017, defendants filed a motion for summary judgment. On June 23, 2017, plaintiffs filed an opposition to defendants’ motion and cross-motion for summary judgment. Briefing of the parties’ respective motions concluded on September 1, 2017; a hearing date has not yet been set. American believes this lawsuit is without merit and intends to vigorously defend against the allegations.</w:t>
      </w:r>
    </w:p>
    <w:p>
      <w:pPr>
        <w:spacing w:after="0" w:line="13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American of an inquiry regarding American’s</w:t>
      </w:r>
      <w:r>
        <w:rPr>
          <w:rFonts w:ascii="Arial" w:cs="Arial" w:eastAsia="Arial" w:hAnsi="Arial"/>
          <w:sz w:val="18"/>
          <w:szCs w:val="18"/>
          <w:i w:val="1"/>
          <w:iCs w:val="1"/>
          <w:color w:val="auto"/>
        </w:rPr>
        <w:t xml:space="preserve"> </w:t>
      </w:r>
      <w:r>
        <w:rPr>
          <w:rFonts w:ascii="Arial" w:cs="Arial" w:eastAsia="Arial" w:hAnsi="Arial"/>
          <w:sz w:val="18"/>
          <w:szCs w:val="18"/>
          <w:color w:val="auto"/>
        </w:rPr>
        <w:t>2009 and 2011 contracts with the United States Postal Service for the international transportation of mail by air. In October 2015, American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with regard to its investigation.</w:t>
      </w:r>
    </w:p>
    <w:p>
      <w:pPr>
        <w:spacing w:after="0" w:line="130" w:lineRule="exact"/>
        <w:rPr>
          <w:sz w:val="20"/>
          <w:szCs w:val="20"/>
          <w:color w:val="auto"/>
        </w:rPr>
      </w:pPr>
    </w:p>
    <w:p>
      <w:pPr>
        <w:jc w:val="both"/>
        <w:ind w:right="20" w:firstLine="216"/>
        <w:spacing w:after="0" w:line="266"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Therefore, although American will vigorously defend itself in each of the actions described above and such other legal proceedings, their ultimate resolution and potential financial and other impacts on American are uncertain but could be material. See Part II, Item 1A. Risk Factors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w:t>
      </w:r>
      <w:r>
        <w:rPr>
          <w:rFonts w:ascii="Arial" w:cs="Arial" w:eastAsia="Arial" w:hAnsi="Arial"/>
          <w:sz w:val="18"/>
          <w:szCs w:val="18"/>
          <w:i w:val="1"/>
          <w:iCs w:val="1"/>
          <w:color w:val="auto"/>
        </w:rPr>
        <w:t>We may be a party to litigation in the normal course of business or otherwise, which could affect our financial position and liquidity</w:t>
      </w:r>
      <w:r>
        <w:rPr>
          <w:rFonts w:ascii="Arial" w:cs="Arial" w:eastAsia="Arial" w:hAnsi="Arial"/>
          <w:sz w:val="18"/>
          <w:szCs w:val="18"/>
          <w:color w:val="auto"/>
        </w:rPr>
        <w:t>” for additional discussion.</w:t>
      </w:r>
    </w:p>
    <w:p>
      <w:pPr>
        <w:spacing w:after="0" w:line="201" w:lineRule="exact"/>
        <w:rPr>
          <w:sz w:val="20"/>
          <w:szCs w:val="20"/>
          <w:color w:val="auto"/>
        </w:rPr>
      </w:pPr>
    </w:p>
    <w:p>
      <w:pPr>
        <w:ind w:left="220" w:right="9340" w:hanging="212"/>
        <w:spacing w:after="0" w:line="357" w:lineRule="auto"/>
        <w:tabs>
          <w:tab w:leader="none" w:pos="30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u w:val="single" w:color="auto"/>
          <w:color w:val="auto"/>
        </w:rPr>
        <w:t>2016-3 Class B EETCs</w:t>
      </w:r>
    </w:p>
    <w:p>
      <w:pPr>
        <w:jc w:val="both"/>
        <w:ind w:firstLine="216"/>
        <w:spacing w:after="0" w:line="254" w:lineRule="auto"/>
        <w:rPr>
          <w:sz w:val="20"/>
          <w:szCs w:val="20"/>
          <w:color w:val="auto"/>
        </w:rPr>
      </w:pPr>
      <w:r>
        <w:rPr>
          <w:rFonts w:ascii="Arial" w:cs="Arial" w:eastAsia="Arial" w:hAnsi="Arial"/>
          <w:sz w:val="18"/>
          <w:szCs w:val="18"/>
          <w:color w:val="auto"/>
        </w:rPr>
        <w:t>In October 2017, American created one additional pass-through trust which issued approximately $193 million aggregate principal amount of Series 2016-3 Class B EETCs (the 2016-3 Class B EETCs) in connection with the financing of the 2016-3 Aircraft. The proceeds received from the sale of the 2016-3 Class B EETCs were used on the date of issuance of the 2016-3 Class B EETCs to acquire Series B equipment notes issued by American in connection with the financing of the 2016-3 Aircraft.</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These Series B equipment notes bear interest at 3.75% per annum. Interest and principal payments on equipment notes issued in connection with the 2016-3 Class B EETCs are payable semi-annually in April and October of each year, beginning in April 2018.</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2017-2 Class B EETCs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October 2017, American created one additional pass-through trust which issued approximately $221 million aggregate principal amount of Series 2017-2 Class B EETCs (the 2017-2 Class B EETCs) in connection with the financing of the 2017-2 Aircraft. A portion of the net proceeds received from the sale of the Series 2017-2 Class B EETCs was used on the date of issuance of the 2017-2 Class B EETCs to acquire Series B equipment notes issued by American in connection with the financing of certain 2017-2 Aircraft, and the balance of such proceeds is being held in escrow for the benefit of the holders of the 2017-2 Class B EETCs until such time as American issues additional Series B equipment notes to the pass-through trust, which trusts will purchase such additional equipment notes with the escrowed funds. These escrowed funds are not guaranteed by American and are not reported as debt on American's condensed consolidated balance sheet because the proceeds held by the depository are not American's assets.</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These Series B equipment notes bear interest at 3.70% per annum. Interest and principal payments on equipment notes issued in connection with the 2017-2 Class B EETCs are payable semi-annually in April and October of each year, with interest payments beginning in April 2018 and principal payments beginning in October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2016 (the 2016 Form 10-K). The information contained herein is not a comprehensive discussion and analysis of the financial condition and results of operations of AAG and American, but rather updates disclosures made in the 2016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American operates an average of nearly 6,700 flights per day to nearly 350 destinations in more than 50 countries. We have hubs in Charlotte, Chicago, Dallas/Fort Worth, Los Angeles, Miami, New York, Philadelphia, Phoenix and Washington, D.C. In the third quarter of 2017, approximately 51 million passengers boarded our mainline and regional flights.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We are committed to consistently delivering safe, reliable and convenient service to our customers in every aspect of our operation, to building the best employee relations in the industry and to providing returns for our stockholders. In January 2017, we were named the 2017 Airline of the Year by </w:t>
      </w:r>
      <w:r>
        <w:rPr>
          <w:rFonts w:ascii="Arial" w:cs="Arial" w:eastAsia="Arial" w:hAnsi="Arial"/>
          <w:sz w:val="18"/>
          <w:szCs w:val="18"/>
          <w:i w:val="1"/>
          <w:iCs w:val="1"/>
          <w:color w:val="auto"/>
        </w:rPr>
        <w:t>Air Transport World</w:t>
      </w:r>
      <w:r>
        <w:rPr>
          <w:rFonts w:ascii="Arial" w:cs="Arial" w:eastAsia="Arial" w:hAnsi="Arial"/>
          <w:sz w:val="18"/>
          <w:szCs w:val="18"/>
          <w:color w:val="auto"/>
        </w:rPr>
        <w:t>, which cited the integration work related to the Merger, our operational and customer service improvements and the investments we are making in our product.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U.S. Airline Industry</w:t>
      </w:r>
    </w:p>
    <w:p>
      <w:pPr>
        <w:spacing w:after="0" w:line="9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Despite a strong economy and demand environment, industry revenue results were mixed in the third quarter of 2017 in part due to competitive pricing actions, as well as the impact from hurricanes. With respect to fuel costs, the price of Brent crude oil per barrel, which jet fuel prices tend to follow, was on average approximately 13% higher in the third quarter of 2017 as compared to the 2016 period. The average daily spot price for Brent crude oil during the third quarter of 2017 was $52 per barrel as compared to an average daily spot price of $46 per barrel during the third quarter of 2016. On a daily basis, Brent crude oil prices fluctuated during the quarter between a high of $60 per barrel to a low of $46 per barrel, and closed the quarter on September 30, 2017 at $57 per barrel. Brent crude oil prices were higher in the 2017 period due to reductions of global inventories driven in part by continued production restraint, as well as hurricane-related refinery disruptions and, more recently, to geopolitical instability in the Middle East.</w:t>
      </w:r>
    </w:p>
    <w:p>
      <w:pPr>
        <w:spacing w:after="0" w:line="13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See Part II, Item 1A. Risk Factors –</w:t>
      </w:r>
      <w:r>
        <w:rPr>
          <w:rFonts w:ascii="Arial" w:cs="Arial" w:eastAsia="Arial" w:hAnsi="Arial"/>
          <w:sz w:val="18"/>
          <w:szCs w:val="18"/>
          <w:i w:val="1"/>
          <w:iCs w:val="1"/>
          <w:color w:val="auto"/>
        </w:rPr>
        <w:t>“Downturns in economic conditions could adversely affect our business,” “Our business is very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dependent on the price and availability of aircraft fuel. Continued periods of high volatility in fuel costs, increased fuel prices or significant disruptions in the supply of aircraft fuel could have a significant negative impact on our operating results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AAG’s Third Quarter 2017 Results</w:t>
      </w:r>
    </w:p>
    <w:p>
      <w:pPr>
        <w:spacing w:after="0" w:line="108"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vMerge w:val="restart"/>
          </w:tcPr>
          <w:p>
            <w:pPr>
              <w:jc w:val="right"/>
              <w:ind w:right="252"/>
              <w:spacing w:after="0" w:line="135" w:lineRule="exact"/>
              <w:rPr>
                <w:sz w:val="20"/>
                <w:szCs w:val="20"/>
                <w:color w:val="auto"/>
              </w:rPr>
            </w:pPr>
            <w:r>
              <w:rPr>
                <w:rFonts w:ascii="Arial" w:cs="Arial" w:eastAsia="Arial" w:hAnsi="Arial"/>
                <w:sz w:val="14"/>
                <w:szCs w:val="14"/>
                <w:b w:val="1"/>
                <w:bCs w:val="1"/>
                <w:color w:val="auto"/>
              </w:rPr>
              <w:t>Increase</w:t>
            </w:r>
          </w:p>
        </w:tc>
        <w:tc>
          <w:tcPr>
            <w:tcW w:w="1360" w:type="dxa"/>
            <w:vAlign w:val="bottom"/>
            <w:vMerge w:val="restart"/>
          </w:tcPr>
          <w:p>
            <w:pPr>
              <w:jc w:val="center"/>
              <w:ind w:left="3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(Decrease)</w:t>
            </w:r>
          </w:p>
        </w:tc>
        <w:tc>
          <w:tcPr>
            <w:tcW w:w="136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80" w:type="dxa"/>
            <w:vAlign w:val="bottom"/>
            <w:gridSpan w:val="6"/>
          </w:tcPr>
          <w:p>
            <w:pPr>
              <w:jc w:val="right"/>
              <w:ind w:right="172"/>
              <w:spacing w:after="0"/>
              <w:rPr>
                <w:sz w:val="20"/>
                <w:szCs w:val="20"/>
                <w:color w:val="auto"/>
              </w:rPr>
            </w:pPr>
            <w:r>
              <w:rPr>
                <w:rFonts w:ascii="Arial" w:cs="Arial" w:eastAsia="Arial" w:hAnsi="Arial"/>
                <w:sz w:val="14"/>
                <w:szCs w:val="14"/>
                <w:b w:val="1"/>
                <w:bCs w:val="1"/>
                <w:color w:val="auto"/>
              </w:rPr>
              <w:t>(In millions, except percentage changes)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passenger revenues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9,377</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Other operating revenues</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9,646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9,163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483</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Pre-tax income</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3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90"/>
        </w:trPr>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Pre-tax income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1,004</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7"/>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Adjusted for: Total pre-tax special items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50"/>
        </w:trPr>
        <w:tc>
          <w:tcPr>
            <w:tcW w:w="5360" w:type="dxa"/>
            <w:vAlign w:val="bottom"/>
          </w:tcPr>
          <w:p>
            <w:pPr>
              <w:ind w:left="40"/>
              <w:spacing w:after="0"/>
              <w:rPr>
                <w:sz w:val="20"/>
                <w:szCs w:val="20"/>
                <w:color w:val="auto"/>
              </w:rPr>
            </w:pPr>
            <w:r>
              <w:rPr>
                <w:rFonts w:ascii="Arial" w:cs="Arial" w:eastAsia="Arial" w:hAnsi="Arial"/>
                <w:sz w:val="18"/>
                <w:szCs w:val="18"/>
                <w:color w:val="auto"/>
              </w:rPr>
              <w:t>Pre-tax income excluding special items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1,114</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13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2" w:lineRule="exact"/>
        <w:rPr>
          <w:sz w:val="20"/>
          <w:szCs w:val="20"/>
          <w:color w:val="auto"/>
        </w:rPr>
      </w:pPr>
    </w:p>
    <w:p>
      <w:pPr>
        <w:ind w:left="500" w:hanging="330"/>
        <w:spacing w:after="0" w:line="235"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special items.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Pre-Tax Income and Net Income</w:t>
      </w:r>
    </w:p>
    <w:p>
      <w:pPr>
        <w:spacing w:after="0" w:line="9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realized net income of $ 624 million in the third quarter of 2017 as compared to net income of $737 million in the third quarter of 2016. Pre-tax income was $ 1.0 billion and $1.2 billion in the third quarters of 2017 and 2016, respectively. Excluding the effects of pre-tax net special items, we recognized pre-tax income of $1.1 billion in the third quarter of 2017 as compared to $1.5 billion in the third quarter of 2016. The quarter-over-quarter declines in our pre-tax income on both a GAAP basis and excluding pre-tax net special items were principally driven by higher wage rates and fuel costs. Wage rates were higher due to mid-contract pay increases for pilots and flight attendants effective in the second quarter of 2017, as well as increases for maintenance and fleet service work groups, which became effective mid-third quarter of 2016. Additionally, fuel costs increased due to a 13.3% increase in the average price per gallon of fuel as discussed below. These increases were offset in part by higher revenues.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9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the third quarter of 2017, we reported total operating revenues of $10.9 billion, an increase of $284 million, or 2.7%, as compared to the 2016 period. Mainline and regional passenger revenues were $9.4 billion, an increase of $227 million, or 2.5%, as compared to the 2016 period. The increase in mainline and regional passenger revenues was driven by a 1.6% period-over-period increase in consolidated yields and continued strong demand. Domestic consolidated yields increased 1.2% and international yields rose 3.4%, due principally to improved performance in Latin America. The third quarter of 2017 marks our fourth consecutive quarter of period-over-period increasing unit revenue. Our mainline and regional total revenue per available seat mile (TRASM) was 14.89 cents in the third quarter of 2017, a 1.1% increase as compared to 14.73 cents in the third quarter of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Fuel</w:t>
      </w:r>
    </w:p>
    <w:p>
      <w:pPr>
        <w:spacing w:after="0" w:line="9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mainline and regional fuel expense totaled $1.9 billion in the third quarter of 2017, which was $226 million, or 13.3%, higher as compared to the 2016 period. This increase was driven by a 13.3% increase in the average price per gallon of fuel to $1.67 in the third quarter of 2017 from $1.48 in the 2016 period.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23" w:right="239" w:bottom="1440" w:gutter="0" w:footer="0" w:header="0"/>
        </w:sectPr>
      </w:pPr>
    </w:p>
    <w:bookmarkStart w:id="37" w:name="page38"/>
    <w:bookmarkEnd w:id="37"/>
    <w:p>
      <w:pPr>
        <w:jc w:val="both"/>
        <w:ind w:firstLine="216"/>
        <w:spacing w:after="0" w:line="254" w:lineRule="auto"/>
        <w:rPr>
          <w:sz w:val="20"/>
          <w:szCs w:val="20"/>
          <w:color w:val="auto"/>
        </w:rPr>
      </w:pPr>
      <w:r>
        <w:rPr>
          <w:rFonts w:ascii="Arial" w:cs="Arial" w:eastAsia="Arial" w:hAnsi="Arial"/>
          <w:sz w:val="18"/>
          <w:szCs w:val="18"/>
          <w:color w:val="auto"/>
        </w:rPr>
        <w:t>As of September 30, 2017,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Costs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2017 third quarter mainline cost per available seat mile (CASM) was 12.37 cents, an increase of 3.5%, from 11.96 cents in 2016. The increase was primarily driven by higher wage rates due to the mid-contract pay increases described above and higher fuel costs.</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2017 third quarter mainline CASM excluding special items and fuel was 9.77 cents, an increase of 4.8%, as compared to the 2016 period, which was also driven by higher wage rates as described above.</w:t>
      </w:r>
    </w:p>
    <w:p>
      <w:pPr>
        <w:spacing w:after="0" w:line="124" w:lineRule="exact"/>
        <w:rPr>
          <w:sz w:val="20"/>
          <w:szCs w:val="20"/>
          <w:color w:val="auto"/>
        </w:rPr>
      </w:pPr>
    </w:p>
    <w:p>
      <w:pPr>
        <w:jc w:val="both"/>
        <w:ind w:firstLine="216"/>
        <w:spacing w:after="0" w:line="282" w:lineRule="auto"/>
        <w:rPr>
          <w:sz w:val="20"/>
          <w:szCs w:val="20"/>
          <w:color w:val="auto"/>
        </w:rPr>
      </w:pPr>
      <w:r>
        <w:rPr>
          <w:rFonts w:ascii="Arial" w:cs="Arial" w:eastAsia="Arial" w:hAnsi="Arial"/>
          <w:sz w:val="18"/>
          <w:szCs w:val="18"/>
          <w:color w:val="auto"/>
        </w:rPr>
        <w:t xml:space="preserve">For a reconciliation of mainline CASM excluding special items and fuel, see below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Stockholder Returns</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September 30, 2017, we had approximately $ 8.3 billion in total available liquidity, consisting of $5.8 billion in unrestricted cash and investments and $2.5 billion in undrawn revolving credit facilities. We also had restricted cash of $393 million.</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During the third quarter of 2017, we returned $411 million to our stockholders, including quarterly dividend payments of $49 million and the repurchase of $362 million of common stock, or 7.7 million shares. Since our capital return program commenced in mid-2014, we have returned more than $11.1 billion to stockholders, including $797 million in quarterly dividend payments and $10.3 billion in share repurchases, or 257.7 million shares. In October 2017, our Board of Directors declared a $0.10 per share dividend for stockholders of record on November 13, 2017, and payable on November 27, 2017.</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continue to take advantage of historically low interest rates to finance new aircraft deliveries under our fleet renewal program. During the third quarter of 2017, we issued an aggregate principal amount of $253 million in Enhanced Equipment Trust Certificate (EETC) equipment notes at an average fixed interest rate of 3.43%, as well as $282 million in other equipment notes, which primarily bear interest at variable rates based on LIBOR plus a margin, averaging 2.85% at September 30, 2017. We also raised $ 500 million in net proceeds from aircraft sale-leaseback transactions. See Note 5 to AAG’s Condensed Consolidated Financial Statements in Part I, Item 1A for additional information on our debt obligations.</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a result of the foregoing factors, we currently have a higher debt level and fewer unencumbered assets than our network airline peers. Accordingly, we believe it is important to retain liquidity levels higher than our peers given our overall leverage as well as to protect against an adverse economic shock. Our current plan is to maintain minimum total available liquidity of $7.0 billion. We were well above that minimum level at September 30, 2017.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60" w:right="239" w:bottom="1440" w:gutter="0" w:footer="0" w:header="0"/>
        </w:sectPr>
      </w:pPr>
    </w:p>
    <w:bookmarkStart w:id="38" w:name="page39"/>
    <w:bookmarkEnd w:id="38"/>
    <w:p>
      <w:pPr>
        <w:jc w:val="both"/>
        <w:ind w:firstLine="243"/>
        <w:spacing w:after="0" w:line="254" w:lineRule="auto"/>
        <w:rPr>
          <w:sz w:val="20"/>
          <w:szCs w:val="20"/>
          <w:color w:val="auto"/>
        </w:rPr>
      </w:pPr>
      <w:r>
        <w:rPr>
          <w:rFonts w:ascii="Arial" w:cs="Arial" w:eastAsia="Arial" w:hAnsi="Arial"/>
          <w:sz w:val="18"/>
          <w:szCs w:val="18"/>
          <w:color w:val="auto"/>
        </w:rPr>
        <w:t>The table below presents the reconciliation of pre-tax income (GAAP measure) to pre-tax income excluding special items (non-GAAP measure). Management uses this non-GAAP financial measure to evaluate our current operating performance and to allow for period-to-period comparisons. As special items may vary from period-to-period in nature and amount, the adjustment to exclude special items allows management an additional tool to better understand our core operating performance.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0" w:type="dxa"/>
            <w:vAlign w:val="bottom"/>
            <w:tcBorders>
              <w:bottom w:val="single" w:sz="8" w:color="CCEEFF"/>
            </w:tcBorders>
          </w:tcPr>
          <w:p>
            <w:pPr>
              <w:spacing w:after="0"/>
              <w:rPr>
                <w:sz w:val="22"/>
                <w:szCs w:val="22"/>
                <w:color w:val="auto"/>
              </w:rPr>
            </w:pPr>
          </w:p>
        </w:tc>
        <w:tc>
          <w:tcPr>
            <w:tcW w:w="50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189"/>
        </w:trPr>
        <w:tc>
          <w:tcPr>
            <w:tcW w:w="602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Reconciliation of Pre-Tax Income Excluding Special Items: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000" w:type="dxa"/>
            <w:vAlign w:val="bottom"/>
            <w:tcBorders>
              <w:top w:val="single" w:sz="8" w:color="auto"/>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r>
      <w:tr>
        <w:trPr>
          <w:trHeight w:val="263"/>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Pre-tax income</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2,659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3,799</w:t>
            </w:r>
          </w:p>
        </w:tc>
      </w:tr>
      <w:tr>
        <w:trPr>
          <w:trHeight w:val="277"/>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Pre-tax special items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Operating special items, net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463</w:t>
            </w: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Nonoperating special items, net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44"/>
        </w:trPr>
        <w:tc>
          <w:tcPr>
            <w:tcW w:w="60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pre-tax special items</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499</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Pre-tax income excluding special items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4,298</w:t>
            </w:r>
          </w:p>
        </w:tc>
      </w:tr>
      <w:tr>
        <w:trPr>
          <w:trHeight w:val="20"/>
        </w:trPr>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Additionally, the table below presents the reconciliation of mainline operating costs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 Amounts may not recalculate due to rounding.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189"/>
        </w:trPr>
        <w:tc>
          <w:tcPr>
            <w:tcW w:w="602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Reconciliation of Mainline CASM Excluding Special Items and Fuel:</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7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r>
      <w:tr>
        <w:trPr>
          <w:trHeight w:val="204"/>
        </w:trPr>
        <w:tc>
          <w:tcPr>
            <w:tcW w:w="60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6"/>
        </w:trPr>
        <w:tc>
          <w:tcPr>
            <w:tcW w:w="40" w:type="dxa"/>
            <w:vAlign w:val="bottom"/>
          </w:tcPr>
          <w:p>
            <w:pPr>
              <w:spacing w:after="0"/>
              <w:rPr>
                <w:sz w:val="5"/>
                <w:szCs w:val="5"/>
                <w:color w:val="auto"/>
              </w:rPr>
            </w:pPr>
          </w:p>
        </w:tc>
        <w:tc>
          <w:tcPr>
            <w:tcW w:w="5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70"/>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9,646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28,238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25,874</w:t>
            </w:r>
          </w:p>
        </w:tc>
      </w:tr>
      <w:tr>
        <w:trPr>
          <w:trHeight w:val="243"/>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Less regional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Fuel and related taxes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64"/>
        </w:trPr>
        <w:tc>
          <w:tcPr>
            <w:tcW w:w="4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w:t>
            </w:r>
          </w:p>
        </w:tc>
      </w:tr>
      <w:tr>
        <w:trPr>
          <w:trHeight w:val="257"/>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mainline operating expenses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23,390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21,386</w:t>
            </w:r>
          </w:p>
        </w:tc>
      </w:tr>
      <w:tr>
        <w:trPr>
          <w:trHeight w:val="270"/>
        </w:trPr>
        <w:tc>
          <w:tcPr>
            <w:tcW w:w="40" w:type="dxa"/>
            <w:vAlign w:val="bottom"/>
          </w:tcPr>
          <w:p>
            <w:pPr>
              <w:spacing w:after="0"/>
              <w:rPr>
                <w:sz w:val="23"/>
                <w:szCs w:val="23"/>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 xml:space="preserve">Adjusted for: Special items, net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40" w:type="dxa"/>
            <w:vAlign w:val="bottom"/>
            <w:shd w:val="clear" w:color="auto" w:fill="CCEEFF"/>
          </w:tcPr>
          <w:p>
            <w:pPr>
              <w:spacing w:after="0"/>
              <w:rPr>
                <w:sz w:val="23"/>
                <w:szCs w:val="23"/>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Adjusted for: Aircraft fuel and related taxes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r>
      <w:tr>
        <w:trPr>
          <w:trHeight w:val="244"/>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Mainline operating expenses excluding special items and fuel</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18,477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17,200</w:t>
            </w:r>
          </w:p>
        </w:tc>
      </w:tr>
      <w:tr>
        <w:trPr>
          <w:trHeight w:val="20"/>
        </w:trPr>
        <w:tc>
          <w:tcPr>
            <w:tcW w:w="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420"/>
          </w:cols>
          <w:pgMar w:left="240" w:top="760" w:right="239" w:bottom="1440" w:gutter="0" w:footer="0" w:header="0"/>
        </w:sectPr>
      </w:pP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 Seat Miles (ASM)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cents)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Mainline CASM</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Adjusted for: Special items, net per ASM</w:t>
      </w:r>
    </w:p>
    <w:p>
      <w:pPr>
        <w:spacing w:after="0" w:line="63" w:lineRule="exact"/>
        <w:rPr>
          <w:sz w:val="20"/>
          <w:szCs w:val="20"/>
          <w:color w:val="auto"/>
        </w:rPr>
      </w:pPr>
    </w:p>
    <w:p>
      <w:pPr>
        <w:ind w:left="40" w:right="760" w:firstLine="351"/>
        <w:spacing w:after="0" w:line="324" w:lineRule="auto"/>
        <w:rPr>
          <w:sz w:val="20"/>
          <w:szCs w:val="20"/>
          <w:color w:val="auto"/>
        </w:rPr>
      </w:pPr>
      <w:r>
        <w:rPr>
          <w:rFonts w:ascii="Arial" w:cs="Arial" w:eastAsia="Arial" w:hAnsi="Arial"/>
          <w:sz w:val="18"/>
          <w:szCs w:val="18"/>
          <w:color w:val="auto"/>
        </w:rPr>
        <w:t>Adjusted for: Aircraft fuel and related taxes per ASM Mainline CASM excluding special items and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37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64,582</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63,751</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184,665</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183,985</w:t>
            </w:r>
          </w:p>
        </w:tc>
      </w:tr>
      <w:tr>
        <w:trPr>
          <w:trHeight w:val="54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11.62</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77"/>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50"/>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9.35</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-882650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-539750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-196850</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5300" w:space="720"/>
            <w:col w:w="5400"/>
          </w:cols>
          <w:pgMar w:left="240" w:top="760" w:right="239" w:bottom="1440" w:gutter="0" w:footer="0" w:header="0"/>
          <w:type w:val="continuous"/>
        </w:sectPr>
      </w:pPr>
    </w:p>
    <w:p>
      <w:pPr>
        <w:spacing w:after="0" w:line="146" w:lineRule="exact"/>
        <w:rPr>
          <w:sz w:val="20"/>
          <w:szCs w:val="20"/>
          <w:color w:val="auto"/>
        </w:rPr>
      </w:pPr>
    </w:p>
    <w:p>
      <w:pPr>
        <w:jc w:val="center"/>
        <w:ind w:left="5620" w:right="840" w:hanging="5369"/>
        <w:spacing w:after="0" w:line="741" w:lineRule="auto"/>
        <w:tabs>
          <w:tab w:leader="none" w:pos="581"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special items. 38</w:t>
      </w:r>
    </w:p>
    <w:p>
      <w:pPr>
        <w:sectPr>
          <w:pgSz w:w="11900" w:h="16838" w:orient="portrait"/>
          <w:cols w:equalWidth="0" w:num="1">
            <w:col w:w="11420"/>
          </w:cols>
          <w:pgMar w:left="240" w:top="760"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39" w:lineRule="exact"/>
        <w:rPr>
          <w:sz w:val="20"/>
          <w:szCs w:val="20"/>
          <w:color w:val="auto"/>
        </w:rPr>
      </w:pPr>
    </w:p>
    <w:p>
      <w:pPr>
        <w:ind w:firstLine="432"/>
        <w:spacing w:after="0" w:line="324" w:lineRule="auto"/>
        <w:rPr>
          <w:sz w:val="20"/>
          <w:szCs w:val="20"/>
          <w:color w:val="auto"/>
        </w:rPr>
      </w:pPr>
      <w:r>
        <w:rPr>
          <w:rFonts w:ascii="Arial" w:cs="Arial" w:eastAsia="Arial" w:hAnsi="Arial"/>
          <w:sz w:val="18"/>
          <w:szCs w:val="18"/>
          <w:color w:val="auto"/>
        </w:rPr>
        <w:t>The table below sets forth selected mainline and regional operating data for the three and nine months ended September 30, 2017 and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10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right"/>
              <w:ind w:right="27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10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Increase</w:t>
            </w:r>
          </w:p>
        </w:tc>
        <w:tc>
          <w:tcPr>
            <w:tcW w:w="210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12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8"/>
        </w:trPr>
        <w:tc>
          <w:tcPr>
            <w:tcW w:w="4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000" w:type="dxa"/>
            <w:vAlign w:val="bottom"/>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(Decrease)</w:t>
            </w: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Mainline</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22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54,012</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53,472</w:t>
            </w:r>
          </w:p>
        </w:tc>
        <w:tc>
          <w:tcPr>
            <w:tcW w:w="1340" w:type="dxa"/>
            <w:vAlign w:val="bottom"/>
            <w:gridSpan w:val="2"/>
          </w:tcPr>
          <w:p>
            <w:pPr>
              <w:jc w:val="right"/>
              <w:ind w:right="9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152,400</w:t>
            </w:r>
          </w:p>
        </w:tc>
        <w:tc>
          <w:tcPr>
            <w:tcW w:w="1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151,619</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64,582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63,751</w:t>
            </w:r>
          </w:p>
        </w:tc>
        <w:tc>
          <w:tcPr>
            <w:tcW w:w="13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184,665</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183,985</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4420" w:type="dxa"/>
            <w:vAlign w:val="bottom"/>
          </w:tcPr>
          <w:p>
            <w:pPr>
              <w:ind w:left="22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3"/>
                <w:szCs w:val="2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(0.3)pts</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0.1pts</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13.87</w:t>
            </w:r>
          </w:p>
        </w:tc>
        <w:tc>
          <w:tcPr>
            <w:tcW w:w="13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13.98</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6"/>
        </w:trPr>
        <w:tc>
          <w:tcPr>
            <w:tcW w:w="4420" w:type="dxa"/>
            <w:vAlign w:val="bottom"/>
          </w:tcPr>
          <w:p>
            <w:pPr>
              <w:ind w:left="220"/>
              <w:spacing w:after="0"/>
              <w:rPr>
                <w:sz w:val="20"/>
                <w:szCs w:val="20"/>
                <w:color w:val="auto"/>
              </w:rPr>
            </w:pPr>
            <w:r>
              <w:rPr>
                <w:rFonts w:ascii="Arial" w:cs="Arial" w:eastAsia="Arial" w:hAnsi="Arial"/>
                <w:sz w:val="18"/>
                <w:szCs w:val="18"/>
                <w:color w:val="auto"/>
              </w:rPr>
              <w:t>Passenger revenue per available seat mile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20" w:type="dxa"/>
            <w:vAlign w:val="bottom"/>
          </w:tcPr>
          <w:p>
            <w:pPr>
              <w:ind w:left="440"/>
              <w:spacing w:after="0" w:line="233" w:lineRule="exact"/>
              <w:rPr>
                <w:sz w:val="20"/>
                <w:szCs w:val="20"/>
                <w:color w:val="auto"/>
              </w:rPr>
            </w:pPr>
            <w:r>
              <w:rPr>
                <w:rFonts w:ascii="Arial" w:cs="Arial" w:eastAsia="Arial" w:hAnsi="Arial"/>
                <w:sz w:val="18"/>
                <w:szCs w:val="18"/>
                <w:color w:val="auto"/>
              </w:rPr>
              <w:t xml:space="preserve">(cents) </w:t>
            </w:r>
            <w:r>
              <w:rPr>
                <w:rFonts w:ascii="Arial" w:cs="Arial" w:eastAsia="Arial" w:hAnsi="Arial"/>
                <w:sz w:val="21"/>
                <w:szCs w:val="21"/>
                <w:color w:val="auto"/>
                <w:vertAlign w:val="superscript"/>
              </w:rPr>
              <w:t>(e)</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11.64</w:t>
            </w:r>
          </w:p>
        </w:tc>
        <w:tc>
          <w:tcPr>
            <w:tcW w:w="1340" w:type="dxa"/>
            <w:vAlign w:val="bottom"/>
            <w:gridSpan w:val="2"/>
          </w:tcPr>
          <w:p>
            <w:pPr>
              <w:jc w:val="right"/>
              <w:ind w:right="9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11.52</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(f)</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11.96</w:t>
            </w:r>
          </w:p>
        </w:tc>
        <w:tc>
          <w:tcPr>
            <w:tcW w:w="13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63"/>
        </w:trPr>
        <w:tc>
          <w:tcPr>
            <w:tcW w:w="4420" w:type="dxa"/>
            <w:vAlign w:val="bottom"/>
          </w:tcPr>
          <w:p>
            <w:pPr>
              <w:ind w:left="220"/>
              <w:spacing w:after="0"/>
              <w:rPr>
                <w:sz w:val="20"/>
                <w:szCs w:val="20"/>
                <w:color w:val="auto"/>
              </w:rPr>
            </w:pPr>
            <w:r>
              <w:rPr>
                <w:rFonts w:ascii="Arial" w:cs="Arial" w:eastAsia="Arial" w:hAnsi="Arial"/>
                <w:sz w:val="18"/>
                <w:szCs w:val="18"/>
                <w:color w:val="auto"/>
              </w:rPr>
              <w:t>Aircraft at end of period</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922</w:t>
            </w:r>
          </w:p>
        </w:tc>
        <w:tc>
          <w:tcPr>
            <w:tcW w:w="1340" w:type="dxa"/>
            <w:vAlign w:val="bottom"/>
            <w:gridSpan w:val="2"/>
          </w:tcPr>
          <w:p>
            <w:pPr>
              <w:jc w:val="right"/>
              <w:ind w:right="9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consumption (gallons in millions)</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953</w:t>
            </w:r>
          </w:p>
        </w:tc>
        <w:tc>
          <w:tcPr>
            <w:tcW w:w="13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2,713</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2,739</w:t>
            </w:r>
          </w:p>
        </w:tc>
        <w:tc>
          <w:tcPr>
            <w:tcW w:w="13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4420" w:type="dxa"/>
            <w:vAlign w:val="bottom"/>
          </w:tcPr>
          <w:p>
            <w:pPr>
              <w:ind w:left="200"/>
              <w:spacing w:after="0"/>
              <w:rPr>
                <w:sz w:val="20"/>
                <w:szCs w:val="20"/>
                <w:color w:val="auto"/>
              </w:rPr>
            </w:pPr>
            <w:r>
              <w:rPr>
                <w:rFonts w:ascii="Arial" w:cs="Arial" w:eastAsia="Arial" w:hAnsi="Arial"/>
                <w:sz w:val="18"/>
                <w:szCs w:val="18"/>
                <w:color w:val="auto"/>
              </w:rPr>
              <w:t>Average aircraft fuel price including related taxes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440"/>
              <w:spacing w:after="0"/>
              <w:rPr>
                <w:sz w:val="20"/>
                <w:szCs w:val="20"/>
                <w:color w:val="auto"/>
              </w:rPr>
            </w:pPr>
            <w:r>
              <w:rPr>
                <w:rFonts w:ascii="Arial" w:cs="Arial" w:eastAsia="Arial" w:hAnsi="Arial"/>
                <w:sz w:val="18"/>
                <w:szCs w:val="18"/>
                <w:color w:val="auto"/>
              </w:rPr>
              <w:t>(dollars per gallon)</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340" w:type="dxa"/>
            <w:vAlign w:val="bottom"/>
            <w:gridSpan w:val="2"/>
          </w:tcPr>
          <w:p>
            <w:pPr>
              <w:jc w:val="right"/>
              <w:ind w:right="97"/>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Full-time equivalent employees at end of period</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101,200</w:t>
            </w:r>
          </w:p>
        </w:tc>
        <w:tc>
          <w:tcPr>
            <w:tcW w:w="13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105,000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101,200</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Total Mainline and Regional</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60,471</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59,919</w:t>
            </w:r>
          </w:p>
        </w:tc>
        <w:tc>
          <w:tcPr>
            <w:tcW w:w="13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171,019</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170,025</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4420" w:type="dxa"/>
            <w:vAlign w:val="bottom"/>
          </w:tcPr>
          <w:p>
            <w:pPr>
              <w:ind w:left="22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73,053</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71,911</w:t>
            </w:r>
          </w:p>
        </w:tc>
        <w:tc>
          <w:tcPr>
            <w:tcW w:w="1340" w:type="dxa"/>
            <w:vAlign w:val="bottom"/>
            <w:gridSpan w:val="2"/>
          </w:tcPr>
          <w:p>
            <w:pPr>
              <w:jc w:val="right"/>
              <w:ind w:right="9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209,136</w:t>
            </w:r>
          </w:p>
        </w:tc>
        <w:tc>
          <w:tcPr>
            <w:tcW w:w="1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207,726</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(0.5)pts</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(0.1)pts</w:t>
            </w:r>
          </w:p>
        </w:tc>
        <w:tc>
          <w:tcPr>
            <w:tcW w:w="0" w:type="dxa"/>
            <w:vAlign w:val="bottom"/>
          </w:tcPr>
          <w:p>
            <w:pPr>
              <w:spacing w:after="0"/>
              <w:rPr>
                <w:sz w:val="1"/>
                <w:szCs w:val="1"/>
                <w:color w:val="auto"/>
              </w:rPr>
            </w:pPr>
          </w:p>
        </w:tc>
      </w:tr>
      <w:tr>
        <w:trPr>
          <w:trHeight w:val="270"/>
        </w:trPr>
        <w:tc>
          <w:tcPr>
            <w:tcW w:w="4420" w:type="dxa"/>
            <w:vAlign w:val="bottom"/>
          </w:tcPr>
          <w:p>
            <w:pPr>
              <w:ind w:left="22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15.27</w:t>
            </w:r>
          </w:p>
        </w:tc>
        <w:tc>
          <w:tcPr>
            <w:tcW w:w="1340" w:type="dxa"/>
            <w:vAlign w:val="bottom"/>
            <w:gridSpan w:val="2"/>
          </w:tcPr>
          <w:p>
            <w:pPr>
              <w:jc w:val="right"/>
              <w:ind w:right="9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15.43</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revenue per available seat mile</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ind w:left="440"/>
              <w:spacing w:after="0" w:line="233" w:lineRule="exact"/>
              <w:rPr>
                <w:sz w:val="20"/>
                <w:szCs w:val="20"/>
                <w:color w:val="auto"/>
              </w:rPr>
            </w:pPr>
            <w:r>
              <w:rPr>
                <w:rFonts w:ascii="Arial" w:cs="Arial" w:eastAsia="Arial" w:hAnsi="Arial"/>
                <w:sz w:val="18"/>
                <w:szCs w:val="18"/>
                <w:color w:val="auto"/>
              </w:rPr>
              <w:t xml:space="preserve">(cents) </w:t>
            </w:r>
            <w:r>
              <w:rPr>
                <w:rFonts w:ascii="Arial" w:cs="Arial" w:eastAsia="Arial" w:hAnsi="Arial"/>
                <w:sz w:val="21"/>
                <w:szCs w:val="21"/>
                <w:color w:val="auto"/>
                <w:vertAlign w:val="superscript"/>
              </w:rPr>
              <w:t>(e)</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12.72</w:t>
            </w:r>
          </w:p>
        </w:tc>
        <w:tc>
          <w:tcPr>
            <w:tcW w:w="13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4420" w:type="dxa"/>
            <w:vAlign w:val="bottom"/>
          </w:tcPr>
          <w:p>
            <w:pPr>
              <w:ind w:left="22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(g)</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14.73</w:t>
            </w:r>
          </w:p>
        </w:tc>
        <w:tc>
          <w:tcPr>
            <w:tcW w:w="1340" w:type="dxa"/>
            <w:vAlign w:val="bottom"/>
            <w:gridSpan w:val="2"/>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14.63</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Aircraft at end of period</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1,521</w:t>
            </w:r>
          </w:p>
        </w:tc>
        <w:tc>
          <w:tcPr>
            <w:tcW w:w="13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1,558</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1,521</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4420" w:type="dxa"/>
            <w:vAlign w:val="bottom"/>
          </w:tcPr>
          <w:p>
            <w:pPr>
              <w:ind w:left="220"/>
              <w:spacing w:after="0"/>
              <w:rPr>
                <w:sz w:val="20"/>
                <w:szCs w:val="20"/>
                <w:color w:val="auto"/>
              </w:rPr>
            </w:pPr>
            <w:r>
              <w:rPr>
                <w:rFonts w:ascii="Arial" w:cs="Arial" w:eastAsia="Arial" w:hAnsi="Arial"/>
                <w:sz w:val="18"/>
                <w:szCs w:val="18"/>
                <w:color w:val="auto"/>
              </w:rPr>
              <w:t>Fuel consumption (gallons in millions)</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2"/>
                <w:szCs w:val="22"/>
                <w:color w:val="auto"/>
              </w:rPr>
            </w:pP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3,304</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5"/>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aircraft fuel price including related taxes</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(dollars per gallon)</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3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314"/>
        </w:trPr>
        <w:tc>
          <w:tcPr>
            <w:tcW w:w="4420" w:type="dxa"/>
            <w:vAlign w:val="bottom"/>
          </w:tcPr>
          <w:p>
            <w:pPr>
              <w:ind w:left="220"/>
              <w:spacing w:after="0"/>
              <w:rPr>
                <w:sz w:val="20"/>
                <w:szCs w:val="20"/>
                <w:color w:val="auto"/>
              </w:rPr>
            </w:pPr>
            <w:r>
              <w:rPr>
                <w:rFonts w:ascii="Arial" w:cs="Arial" w:eastAsia="Arial" w:hAnsi="Arial"/>
                <w:sz w:val="18"/>
                <w:szCs w:val="18"/>
                <w:color w:val="auto"/>
              </w:rPr>
              <w:t xml:space="preserve">Full-time equivalent employees at end of period </w:t>
            </w:r>
            <w:r>
              <w:rPr>
                <w:rFonts w:ascii="Arial" w:cs="Arial" w:eastAsia="Arial" w:hAnsi="Arial"/>
                <w:sz w:val="21"/>
                <w:szCs w:val="21"/>
                <w:color w:val="auto"/>
                <w:vertAlign w:val="superscript"/>
              </w:rPr>
              <w:t>(h)</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127,600</w:t>
            </w:r>
          </w:p>
        </w:tc>
        <w:tc>
          <w:tcPr>
            <w:tcW w:w="10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121,800</w:t>
            </w:r>
          </w:p>
        </w:tc>
        <w:tc>
          <w:tcPr>
            <w:tcW w:w="1340" w:type="dxa"/>
            <w:vAlign w:val="bottom"/>
            <w:gridSpan w:val="2"/>
          </w:tcPr>
          <w:p>
            <w:pPr>
              <w:jc w:val="right"/>
              <w:ind w:right="97"/>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127,600</w:t>
            </w:r>
          </w:p>
        </w:tc>
        <w:tc>
          <w:tcPr>
            <w:tcW w:w="1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121,800</w:t>
            </w:r>
          </w:p>
        </w:tc>
        <w:tc>
          <w:tcPr>
            <w:tcW w:w="1360" w:type="dxa"/>
            <w:vAlign w:val="bottom"/>
            <w:gridSpan w:val="2"/>
          </w:tcPr>
          <w:p>
            <w:pPr>
              <w:jc w:val="right"/>
              <w:ind w:right="99"/>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3379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51"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Passenger revenue per available seat mile (PRASM) – Passenger revenues divided by ASMs.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Operating cost per available seat mile (CASM) – Operating expenses divided by ASMs.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Total revenue per available seat mile (TRASM) – Total revenues divided by total mainline and regional ASMs.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Regional full-time equivalent employees only include our wholly-owned regional airline subsidiaries, Envoy, Piedmont and PSA.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Three Months Ended September 30, 2016</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realized pre-tax income of $1.0 billion and $1.2 billion in the third quarters of 2017 and 2016, respectively. Excluding the effects of pre-tax net special items, pre-tax income was $1.1 billion and $1.5 billion in the third quarters of 2017 and 2016, respectively.</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third quarter 2017 pre-tax results on both a GAAP basis and excluding pre-tax net special items were principally driven by higher wage rates and fuel costs, which were offset in part by higher revenues.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vMerge w:val="restart"/>
          </w:tcPr>
          <w:p>
            <w:pPr>
              <w:jc w:val="center"/>
              <w:ind w:left="33"/>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5"/>
        </w:trPr>
        <w:tc>
          <w:tcPr>
            <w:tcW w:w="5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3"/>
            <w:vMerge w:val="restart"/>
          </w:tcPr>
          <w:p>
            <w:pPr>
              <w:jc w:val="center"/>
              <w:ind w:left="494"/>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Increase</w:t>
            </w:r>
          </w:p>
        </w:tc>
        <w:tc>
          <w:tcPr>
            <w:tcW w:w="1480" w:type="dxa"/>
            <w:vAlign w:val="bottom"/>
            <w:vMerge w:val="restart"/>
          </w:tcPr>
          <w:p>
            <w:pPr>
              <w:jc w:val="center"/>
              <w:ind w:left="13"/>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(Decrease)</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7,628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Regional passenger</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10,878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total passenger revenues and the period-over-period change in certain operating statistics: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8"/>
          </w:tcPr>
          <w:p>
            <w:pPr>
              <w:ind w:left="440"/>
              <w:spacing w:after="0"/>
              <w:rPr>
                <w:sz w:val="20"/>
                <w:szCs w:val="20"/>
                <w:color w:val="auto"/>
              </w:rPr>
            </w:pPr>
            <w:r>
              <w:rPr>
                <w:rFonts w:ascii="Arial" w:cs="Arial" w:eastAsia="Arial" w:hAnsi="Arial"/>
                <w:sz w:val="16"/>
                <w:szCs w:val="16"/>
                <w:b w:val="1"/>
                <w:bCs w:val="1"/>
                <w:color w:val="auto"/>
              </w:rPr>
              <w:t>vs. Three Months Ended September 30, 2016</w:t>
            </w:r>
          </w:p>
        </w:tc>
        <w:tc>
          <w:tcPr>
            <w:tcW w:w="1140" w:type="dxa"/>
            <w:vAlign w:val="bottom"/>
            <w:tcBorders>
              <w:bottom w:val="single" w:sz="8" w:color="auto"/>
            </w:tcBorders>
          </w:tcPr>
          <w:p>
            <w:pPr>
              <w:spacing w:after="0"/>
              <w:rPr>
                <w:sz w:val="19"/>
                <w:szCs w:val="19"/>
                <w:color w:val="auto"/>
              </w:rPr>
            </w:pPr>
          </w:p>
        </w:tc>
      </w:tr>
      <w:tr>
        <w:trPr>
          <w:trHeight w:val="176"/>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center"/>
              <w:ind w:right="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Load</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140" w:type="dxa"/>
            <w:vAlign w:val="bottom"/>
          </w:tcPr>
          <w:p>
            <w:pPr>
              <w:spacing w:after="0"/>
              <w:rPr>
                <w:sz w:val="15"/>
                <w:szCs w:val="15"/>
                <w:color w:val="auto"/>
              </w:rPr>
            </w:pPr>
          </w:p>
        </w:tc>
      </w:tr>
      <w:tr>
        <w:trPr>
          <w:trHeight w:val="196"/>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ind w:right="79"/>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RPMs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ASMs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Factor</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Yield</w:t>
            </w: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PRASM</w:t>
            </w:r>
          </w:p>
        </w:tc>
      </w:tr>
      <w:tr>
        <w:trPr>
          <w:trHeight w:val="250"/>
        </w:trPr>
        <w:tc>
          <w:tcPr>
            <w:tcW w:w="29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76"/>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7,628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(0.3)pts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64"/>
        </w:trPr>
        <w:tc>
          <w:tcPr>
            <w:tcW w:w="2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Regional passenger</w:t>
            </w: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1,749</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(2.7)pts</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passenger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9,377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(0.5)pts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Total passenger revenues increased $227 million, or 2.5%, in the third quarter of 2017 from the 2016 period primarily driven by a 1.6% period-over-period increase in consolidated passenger yields and continued strong demand. Domestic consolidated yields increased 1.2% and international yields rose 3.4%, due principally to improved performance in Latin America.</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Cargo revenue increased $29 million, or 17.0%, in the third quarter of 2017 from the 2016 period primarily driven by an increase in freight volume.</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Other revenue primarily includes revenue associated with our loyalty program, baggage fees, ticketing change fees, airport clubs and inflight services. In the third quarters of 2017 and 2016, other revenue associated with our loyalty program was $577 million and $569 million, respectively, of which $549 million and $540 million, respectively, related to the marketing component of mileage sales and other marketing related payments.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Total operating revenues in the third quarter of 2017 increased $284 million, or 2.7%, from the 2016 period driven principally by a 2.5% increase in total passenger revenues as described above. Our mainline and regional TRASM was 14.89 cents in the third quarter of 2017, a 1.1% increase as compared to 14.73 cents in the 2016 period.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19" w:right="23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vMerge w:val="restart"/>
          </w:tcPr>
          <w:p>
            <w:pPr>
              <w:jc w:val="center"/>
              <w:ind w:left="12"/>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3"/>
            <w:vMerge w:val="restart"/>
          </w:tcPr>
          <w:p>
            <w:pPr>
              <w:jc w:val="center"/>
              <w:ind w:left="473"/>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Increase</w:t>
            </w:r>
          </w:p>
        </w:tc>
        <w:tc>
          <w:tcPr>
            <w:tcW w:w="1460" w:type="dxa"/>
            <w:vAlign w:val="bottom"/>
            <w:vMerge w:val="restart"/>
          </w:tcPr>
          <w:p>
            <w:pPr>
              <w:jc w:val="center"/>
              <w:ind w:left="32"/>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(Decrease)</w:t>
            </w:r>
          </w:p>
        </w:tc>
        <w:tc>
          <w:tcPr>
            <w:tcW w:w="1460" w:type="dxa"/>
            <w:vAlign w:val="bottom"/>
            <w:tcBorders>
              <w:bottom w:val="single" w:sz="8" w:color="auto"/>
            </w:tcBorders>
          </w:tcPr>
          <w:p>
            <w:pPr>
              <w:jc w:val="center"/>
              <w:ind w:left="32"/>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c>
          <w:tcPr>
            <w:tcW w:w="146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mainline operating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7,992</w:t>
            </w:r>
          </w:p>
        </w:tc>
        <w:tc>
          <w:tcPr>
            <w:tcW w:w="100" w:type="dxa"/>
            <w:vAlign w:val="bottom"/>
          </w:tcPr>
          <w:p>
            <w:pPr>
              <w:spacing w:after="0"/>
              <w:rPr>
                <w:sz w:val="21"/>
                <w:szCs w:val="21"/>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367</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Mainline operating expenses increased $367 million, or 4.8%, in the third quarter of 2017 from the 2016 period. The increase in operating expenses was primarily driven by higher wage rates and fuel costs. See detailed explanations below relating to changes in mainline CASM.</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table below presents the reconciliation of mainline operating expenses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23" w:right="23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color w:val="auto"/>
        </w:rPr>
        <w:t>The major components of our total mainline CASM and our mainline CASM excluding special items and fuel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are as follows (amounts may not recalculate due to rounding):</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Mainline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mainline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Mainline CASM, excluding special items and fuel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CASM are as follows: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20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680" w:type="dxa"/>
            <w:vAlign w:val="bottom"/>
            <w:vMerge w:val="restart"/>
          </w:tcPr>
          <w:p>
            <w:pPr>
              <w:jc w:val="center"/>
              <w:ind w:left="12"/>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95"/>
        </w:trPr>
        <w:tc>
          <w:tcPr>
            <w:tcW w:w="2200" w:type="dxa"/>
            <w:vAlign w:val="bottom"/>
            <w:gridSpan w:val="3"/>
            <w:vMerge w:val="restart"/>
          </w:tcPr>
          <w:p>
            <w:pPr>
              <w:jc w:val="center"/>
              <w:ind w:left="933"/>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200" w:type="dxa"/>
            <w:vAlign w:val="bottom"/>
            <w:tcBorders>
              <w:bottom w:val="single" w:sz="8" w:color="auto"/>
            </w:tcBorders>
            <w:gridSpan w:val="3"/>
            <w:vMerge w:val="continue"/>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680" w:type="dxa"/>
            <w:vAlign w:val="bottom"/>
            <w:vMerge w:val="restart"/>
          </w:tcPr>
          <w:p>
            <w:pPr>
              <w:jc w:val="center"/>
              <w:ind w:left="12"/>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680" w:type="dxa"/>
            <w:vAlign w:val="bottom"/>
            <w:tcBorders>
              <w:bottom w:val="single" w:sz="8" w:color="auto"/>
            </w:tcBorders>
          </w:tcPr>
          <w:p>
            <w:pPr>
              <w:jc w:val="center"/>
              <w:ind w:left="12"/>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44"/>
        </w:trPr>
        <w:tc>
          <w:tcPr>
            <w:tcW w:w="4880" w:type="dxa"/>
            <w:vAlign w:val="bottom"/>
            <w:gridSpan w:val="5"/>
          </w:tcPr>
          <w:p>
            <w:pPr>
              <w:jc w:val="right"/>
              <w:ind w:right="1032"/>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9"/>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0.47</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0.54</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168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1.85</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11.96</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(0.45)</w:t>
            </w:r>
          </w:p>
        </w:tc>
        <w:tc>
          <w:tcPr>
            <w:tcW w:w="168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15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9.32</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5" w:lineRule="exact"/>
        <w:rPr>
          <w:sz w:val="20"/>
          <w:szCs w:val="20"/>
          <w:color w:val="auto"/>
        </w:rPr>
      </w:pPr>
    </w:p>
    <w:p>
      <w:pPr>
        <w:sectPr>
          <w:pgSz w:w="11900" w:h="16838" w:orient="portrait"/>
          <w:cols w:equalWidth="0" w:num="2">
            <w:col w:w="5820" w:space="720"/>
            <w:col w:w="4880"/>
          </w:cols>
          <w:pgMar w:left="240" w:top="760" w:right="239" w:bottom="1440" w:gutter="0" w:footer="0" w:header="0"/>
          <w:type w:val="continuous"/>
        </w:sectPr>
      </w:pPr>
    </w:p>
    <w:p>
      <w:pPr>
        <w:ind w:left="540" w:right="20" w:hanging="316"/>
        <w:spacing w:after="0" w:line="262"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11.3% primarily due to a 13.4% increase in the average price per gallon of fuel to $1.66 in the third quarter of 2017 from $1.46 in the 2016 period.</w:t>
      </w:r>
    </w:p>
    <w:p>
      <w:pPr>
        <w:spacing w:after="0" w:line="142" w:lineRule="exact"/>
        <w:rPr>
          <w:rFonts w:ascii="Arial" w:cs="Arial" w:eastAsia="Arial" w:hAnsi="Arial"/>
          <w:sz w:val="18"/>
          <w:szCs w:val="18"/>
          <w:color w:val="auto"/>
        </w:rPr>
      </w:pPr>
    </w:p>
    <w:p>
      <w:pPr>
        <w:jc w:val="both"/>
        <w:ind w:left="540" w:hanging="316"/>
        <w:spacing w:after="0" w:line="256"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Salaries, wages and benefits per ASM increased 6.6% primarily due to mid-contract pay rate increases for pilots and flight attendants effective in the second quarter of 2017, as well as rate increases for maintenance and fleet service work groups, which became effective mid-third quarter of 2016.</w:t>
      </w:r>
    </w:p>
    <w:p>
      <w:pPr>
        <w:spacing w:after="0" w:line="147" w:lineRule="exact"/>
        <w:rPr>
          <w:rFonts w:ascii="Arial" w:cs="Arial" w:eastAsia="Arial" w:hAnsi="Arial"/>
          <w:sz w:val="18"/>
          <w:szCs w:val="18"/>
          <w:color w:val="auto"/>
        </w:rPr>
      </w:pPr>
    </w:p>
    <w:p>
      <w:pPr>
        <w:ind w:left="540" w:hanging="316"/>
        <w:spacing w:after="0" w:line="262"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expenses per ASM increased 13.6% primarily due to higher revenues in the third quarter of 2017 as compared to the 2016 period, resulting in higher commissions.</w:t>
      </w:r>
    </w:p>
    <w:p>
      <w:pPr>
        <w:spacing w:after="0" w:line="142" w:lineRule="exact"/>
        <w:rPr>
          <w:rFonts w:ascii="Arial" w:cs="Arial" w:eastAsia="Arial" w:hAnsi="Arial"/>
          <w:sz w:val="18"/>
          <w:szCs w:val="18"/>
          <w:color w:val="auto"/>
        </w:rPr>
      </w:pPr>
    </w:p>
    <w:p>
      <w:pPr>
        <w:ind w:left="540" w:hanging="31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and amortization per ASM increased 7.2% primarily due to aircraft purchased in connection with our fleet renewal program.</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88"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31750</wp:posOffset>
            </wp:positionV>
            <wp:extent cx="23241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6"/>
        </w:trPr>
        <w:tc>
          <w:tcPr>
            <w:tcW w:w="77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shd w:val="clear" w:color="auto" w:fill="CCEEFF"/>
          </w:tcPr>
          <w:p>
            <w:pPr>
              <w:spacing w:after="0"/>
              <w:rPr>
                <w:sz w:val="22"/>
                <w:szCs w:val="22"/>
                <w:color w:val="auto"/>
              </w:rPr>
            </w:pP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Mark-to-market adjustments for bankruptcy obligations and other</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(3)</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4"/>
        </w:trPr>
        <w:tc>
          <w:tcPr>
            <w:tcW w:w="7760" w:type="dxa"/>
            <w:vAlign w:val="bottom"/>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3" w:lineRule="auto"/>
        <w:tabs>
          <w:tab w:leader="none" w:pos="50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relocation and severance.</w:t>
      </w:r>
    </w:p>
    <w:p>
      <w:pPr>
        <w:sectPr>
          <w:pgSz w:w="11900" w:h="16838" w:orient="portrait"/>
          <w:cols w:equalWidth="0" w:num="1">
            <w:col w:w="11420"/>
          </w:cols>
          <w:pgMar w:left="240" w:top="760" w:right="239" w:bottom="1440" w:gutter="0" w:footer="0" w:header="0"/>
          <w:type w:val="continuous"/>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760" w:right="239" w:bottom="1440" w:gutter="0" w:footer="0" w:header="0"/>
          <w:type w:val="continuous"/>
        </w:sectPr>
      </w:pPr>
    </w:p>
    <w:bookmarkStart w:id="43" w:name="page44"/>
    <w:bookmarkEnd w:id="43"/>
    <w:p>
      <w:pPr>
        <w:ind w:left="500" w:hanging="330"/>
        <w:spacing w:after="0" w:line="225" w:lineRule="auto"/>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principally related to a gain on the sale of certain aircraft in the 2017 period and Merger integration expenses in the 2016 period.</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2980" w:type="dxa"/>
            <w:vAlign w:val="bottom"/>
            <w:gridSpan w:val="6"/>
            <w:vMerge w:val="restart"/>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jc w:val="center"/>
              <w:ind w:left="34"/>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3"/>
        </w:trPr>
        <w:tc>
          <w:tcPr>
            <w:tcW w:w="56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Increase</w:t>
            </w:r>
          </w:p>
        </w:tc>
        <w:tc>
          <w:tcPr>
            <w:tcW w:w="148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76"/>
        </w:trPr>
        <w:tc>
          <w:tcPr>
            <w:tcW w:w="56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(Decrease)</w:t>
            </w:r>
          </w:p>
        </w:tc>
        <w:tc>
          <w:tcPr>
            <w:tcW w:w="1480" w:type="dxa"/>
            <w:vAlign w:val="bottom"/>
            <w:tcBorders>
              <w:bottom w:val="single" w:sz="8" w:color="auto"/>
            </w:tcBorders>
          </w:tcPr>
          <w:p>
            <w:pPr>
              <w:jc w:val="center"/>
              <w:ind w:left="34"/>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regional operating expenses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Regional operating expenses increased $116 million, or 7.5%, in the third quarter of 2017 from the 2016 period. The period-over-period increase was primarily due to a $49 million, or 16.1%, increase in fuel costs and a $67 million, or 5.4%, increase in other regional operating expenses. The average price per gallon of fuel increased 13.1% to $1.75 in the third quarter of 2017 from $1.55 in the 2016 period, on a 2.6% increase in consumption. The increase in other regional operating expenses was primarily driven by a 3.8% increase in capacity, principally from our wholly-owned regional carriers. See Note 10 to AAG’s Condensed Consolidated Financial Statements in Part I, Item 1A for further information on regional expenses.</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960" w:type="dxa"/>
            <w:vAlign w:val="bottom"/>
            <w:gridSpan w:val="6"/>
            <w:vMerge w:val="restart"/>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tcPr>
          <w:p>
            <w:pPr>
              <w:jc w:val="center"/>
              <w:ind w:left="14"/>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3"/>
        </w:trPr>
        <w:tc>
          <w:tcPr>
            <w:tcW w:w="562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Increase</w:t>
            </w:r>
          </w:p>
        </w:tc>
        <w:tc>
          <w:tcPr>
            <w:tcW w:w="1460" w:type="dxa"/>
            <w:vAlign w:val="bottom"/>
            <w:vMerge w:val="restart"/>
          </w:tcPr>
          <w:p>
            <w:pPr>
              <w:jc w:val="center"/>
              <w:ind w:left="3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76"/>
        </w:trPr>
        <w:tc>
          <w:tcPr>
            <w:tcW w:w="562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880" w:type="dxa"/>
            <w:vAlign w:val="bottom"/>
            <w:tcBorders>
              <w:bottom w:val="single" w:sz="8" w:color="auto"/>
            </w:tcBorders>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(228)</w:t>
            </w:r>
          </w:p>
        </w:tc>
        <w:tc>
          <w:tcPr>
            <w:tcW w:w="100" w:type="dxa"/>
            <w:vAlign w:val="bottom"/>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short-term investments in each period consisted of highly liquid investments that provided relatively nominal returns. Interest income increased $9 million, or 51.4%, principally due to an increase in interest rates, which drove more than a 50 basis point increase in average yields in the third quarter of 2017 as compared to the 2016 period.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expense, net increased $ 16 million in the third quarter of 2017 as compared to the 2016 period primarily due to higher outstanding debt as a result of aircraft financings associated with our fleet renewal program.</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third quarter 2017, we recorded an income tax provision of $380 million, which was substantially non-cash due to utilization of our net operating losses (NOLs). Substantially all of our income before income taxes is attributable to the United States. At December 31, 2016, we had approximately $10.5 billion of gross NOLs to reduce future federal taxable income, substantially all of which are expected to be available for use in 2017.</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6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Nine Months Ended September 30, 2017 Compared to Nine Months Ended September 30, 2016</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realized pre-tax income of $2.7 billion and $3.8 billion in the first nine months of 2017 and 2016, respectively. Excluding the effects of pre-tax net special items, pre-tax income was $3.1 billion and $4.3 billion in the first nine months of 2017 and 2016, respectively.</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pre-tax results on both a GAAP basis and excluding pre-tax net special items for the first nine months of 2017 were principally driven by higher wage rates and fuel costs, which were offset in part by higher revenues.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2980" w:type="dxa"/>
            <w:vAlign w:val="bottom"/>
            <w:gridSpan w:val="6"/>
            <w:vMerge w:val="restart"/>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jc w:val="center"/>
              <w:ind w:left="33"/>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3"/>
        </w:trPr>
        <w:tc>
          <w:tcPr>
            <w:tcW w:w="56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Increase</w:t>
            </w:r>
          </w:p>
        </w:tc>
        <w:tc>
          <w:tcPr>
            <w:tcW w:w="1480" w:type="dxa"/>
            <w:vAlign w:val="bottom"/>
            <w:vMerge w:val="restart"/>
          </w:tcPr>
          <w:p>
            <w:pPr>
              <w:jc w:val="center"/>
              <w:ind w:left="13"/>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76"/>
        </w:trPr>
        <w:tc>
          <w:tcPr>
            <w:tcW w:w="56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(Decrease)</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21,192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Regional passenger</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3,653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271</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30,391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total passenger revenues and the period-over-period change in certain operating statistics: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360"/>
              <w:spacing w:after="0"/>
              <w:rPr>
                <w:sz w:val="20"/>
                <w:szCs w:val="20"/>
                <w:color w:val="auto"/>
              </w:rPr>
            </w:pPr>
            <w:r>
              <w:rPr>
                <w:rFonts w:ascii="Arial" w:cs="Arial" w:eastAsia="Arial" w:hAnsi="Arial"/>
                <w:sz w:val="16"/>
                <w:szCs w:val="16"/>
                <w:b w:val="1"/>
                <w:bCs w:val="1"/>
                <w:color w:val="auto"/>
              </w:rPr>
              <w:t>Increase (Decrease)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8"/>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8"/>
          </w:tcPr>
          <w:p>
            <w:pPr>
              <w:ind w:left="340"/>
              <w:spacing w:after="0"/>
              <w:rPr>
                <w:sz w:val="20"/>
                <w:szCs w:val="20"/>
                <w:color w:val="auto"/>
              </w:rPr>
            </w:pPr>
            <w:r>
              <w:rPr>
                <w:rFonts w:ascii="Arial" w:cs="Arial" w:eastAsia="Arial" w:hAnsi="Arial"/>
                <w:sz w:val="16"/>
                <w:szCs w:val="16"/>
                <w:b w:val="1"/>
                <w:bCs w:val="1"/>
                <w:color w:val="auto"/>
              </w:rPr>
              <w:t>vs. Nine Months Ended September 30, 2016</w:t>
            </w:r>
          </w:p>
        </w:tc>
        <w:tc>
          <w:tcPr>
            <w:tcW w:w="1020" w:type="dxa"/>
            <w:vAlign w:val="bottom"/>
            <w:tcBorders>
              <w:bottom w:val="single" w:sz="8" w:color="auto"/>
            </w:tcBorders>
          </w:tcPr>
          <w:p>
            <w:pPr>
              <w:spacing w:after="0"/>
              <w:rPr>
                <w:sz w:val="19"/>
                <w:szCs w:val="19"/>
                <w:color w:val="auto"/>
              </w:rPr>
            </w:pPr>
          </w:p>
        </w:tc>
      </w:tr>
      <w:tr>
        <w:trPr>
          <w:trHeight w:val="176"/>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center"/>
              <w:ind w:right="119"/>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Load</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r>
      <w:tr>
        <w:trPr>
          <w:trHeight w:val="196"/>
        </w:trPr>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center"/>
              <w:ind w:right="119"/>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Revenue</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RPMs</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ASMs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Factor</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Yield</w:t>
            </w: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rPr>
              <w:t>PRASM</w:t>
            </w:r>
          </w:p>
        </w:tc>
      </w:tr>
      <w:tr>
        <w:trPr>
          <w:trHeight w:val="250"/>
        </w:trPr>
        <w:tc>
          <w:tcPr>
            <w:tcW w:w="3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76"/>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21,981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0.4%</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center"/>
              <w:ind w:left="217"/>
              <w:spacing w:after="0"/>
              <w:rPr>
                <w:sz w:val="20"/>
                <w:szCs w:val="20"/>
                <w:color w:val="auto"/>
              </w:rPr>
            </w:pPr>
            <w:r>
              <w:rPr>
                <w:rFonts w:ascii="Arial" w:cs="Arial" w:eastAsia="Arial" w:hAnsi="Arial"/>
                <w:sz w:val="18"/>
                <w:szCs w:val="18"/>
                <w:color w:val="auto"/>
                <w:w w:val="97"/>
              </w:rPr>
              <w:t>0.1pts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6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Regional passenger</w:t>
            </w: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5,133</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7"/>
              </w:rPr>
              <w:t>3.1%</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gridSpan w:val="2"/>
          </w:tcPr>
          <w:p>
            <w:pPr>
              <w:jc w:val="center"/>
              <w:ind w:left="217"/>
              <w:spacing w:after="0"/>
              <w:rPr>
                <w:sz w:val="20"/>
                <w:szCs w:val="20"/>
                <w:color w:val="auto"/>
              </w:rPr>
            </w:pPr>
            <w:r>
              <w:rPr>
                <w:rFonts w:ascii="Arial" w:cs="Arial" w:eastAsia="Arial" w:hAnsi="Arial"/>
                <w:sz w:val="18"/>
                <w:szCs w:val="18"/>
                <w:color w:val="auto"/>
                <w:w w:val="98"/>
              </w:rPr>
              <w:t>(1.4)pts</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passenger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27,114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center"/>
              <w:ind w:left="217"/>
              <w:spacing w:after="0"/>
              <w:rPr>
                <w:sz w:val="20"/>
                <w:szCs w:val="20"/>
                <w:color w:val="auto"/>
              </w:rPr>
            </w:pPr>
            <w:r>
              <w:rPr>
                <w:rFonts w:ascii="Arial" w:cs="Arial" w:eastAsia="Arial" w:hAnsi="Arial"/>
                <w:sz w:val="18"/>
                <w:szCs w:val="18"/>
                <w:color w:val="auto"/>
                <w:w w:val="98"/>
              </w:rPr>
              <w:t>(0.1)pts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0"/>
        </w:trPr>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Total passenger revenues increased $882 million, or 3.4%, in the first nine months of 2017 from the 2016 period primarily driven by a 2.8% period-over-period increase in consolidated passenger yields and continued strong demand. Domestic consolidated yields increased 3.6% and international yields rose 1.8%, due principally to improved performance in Latin America.</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Cargo revenue increased $62 million, or 12.2%, in the first nine months of 2017 from the 2016 period primarily driven by an increase in freight volume.</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Other revenue primarily includes revenue associated with our loyalty program, baggage fees, ticketing change fees, airport clubs and inflight services. Other revenue increased $271 million, or 7.4%, in the first nine months of 2017 from the 2016 period primarily driven by an increase in loyalty program revenue. In the first nine months of 2017 and 2016, other revenue associated with our loyalty program was $1.8 billion and $1.5 billion, respectively, of which $1.6 billion and $1.4 billion, respectively, related to the marketing component of mileage sales and other marketing related payments. This period-over-period increase was primarily due to revenues associated with our new co-branded credit card agreements that became effective in the third quarter of 2016.</w:t>
      </w:r>
    </w:p>
    <w:p>
      <w:pPr>
        <w:spacing w:after="0" w:line="1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Total operating revenues in the first nine months of 2017 increased $ 1.2 billion, or 4.0%, from the 2016 period driven principally by a 3.4% increase in total passenger revenues as described above. Our mainline and regional TRASM was 15.11 cents in the first nine months of 2017, a 3.3% increase as compared to 14.63 cents in the 2016 period.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19" w:right="239" w:bottom="1440" w:gutter="0" w:footer="0" w:header="0"/>
        </w:sectPr>
      </w:pPr>
    </w:p>
    <w:bookmarkStart w:id="45" w:name="page46"/>
    <w:bookmarkEnd w:id="45"/>
    <w:p>
      <w:pPr>
        <w:ind w:left="22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vMerge w:val="restart"/>
          </w:tcPr>
          <w:p>
            <w:pPr>
              <w:jc w:val="center"/>
              <w:ind w:left="12"/>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3"/>
            <w:vMerge w:val="restart"/>
          </w:tcPr>
          <w:p>
            <w:pPr>
              <w:jc w:val="center"/>
              <w:ind w:left="473"/>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Increase</w:t>
            </w:r>
          </w:p>
        </w:tc>
        <w:tc>
          <w:tcPr>
            <w:tcW w:w="1460" w:type="dxa"/>
            <w:vAlign w:val="bottom"/>
            <w:vMerge w:val="restart"/>
          </w:tcPr>
          <w:p>
            <w:pPr>
              <w:jc w:val="center"/>
              <w:ind w:left="32"/>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(Decrease)</w:t>
            </w:r>
          </w:p>
        </w:tc>
        <w:tc>
          <w:tcPr>
            <w:tcW w:w="1460" w:type="dxa"/>
            <w:vAlign w:val="bottom"/>
            <w:tcBorders>
              <w:bottom w:val="single" w:sz="8" w:color="auto"/>
            </w:tcBorders>
          </w:tcPr>
          <w:p>
            <w:pPr>
              <w:jc w:val="center"/>
              <w:ind w:left="32"/>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730</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3,386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mainline operating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23,390</w:t>
            </w:r>
          </w:p>
        </w:tc>
        <w:tc>
          <w:tcPr>
            <w:tcW w:w="100" w:type="dxa"/>
            <w:vAlign w:val="bottom"/>
          </w:tcPr>
          <w:p>
            <w:pPr>
              <w:spacing w:after="0"/>
              <w:rPr>
                <w:sz w:val="21"/>
                <w:szCs w:val="21"/>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21,386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2,004</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Mainline operating expenses increased $2.0 billion, or 9.4%, in the first nine months of 2017 from the 2016 period. The increase in operating expenses was primarily driven by higher wage rates and fuel costs. See detailed explanations below relating to changes in mainline CASM.</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table below presents the reconciliation of mainline operating expenses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23" w:right="239" w:bottom="1440" w:gutter="0" w:footer="0" w:header="0"/>
        </w:sectPr>
      </w:pPr>
    </w:p>
    <w:bookmarkStart w:id="46" w:name="page47"/>
    <w:bookmarkEnd w:id="46"/>
    <w:p>
      <w:pPr>
        <w:ind w:left="220"/>
        <w:spacing w:after="0"/>
        <w:rPr>
          <w:sz w:val="20"/>
          <w:szCs w:val="20"/>
          <w:color w:val="auto"/>
        </w:rPr>
      </w:pPr>
      <w:r>
        <w:rPr>
          <w:rFonts w:ascii="Arial" w:cs="Arial" w:eastAsia="Arial" w:hAnsi="Arial"/>
          <w:sz w:val="18"/>
          <w:szCs w:val="18"/>
          <w:color w:val="auto"/>
        </w:rPr>
        <w:t>The major components of our total mainline CASM and our mainline CASM excluding special items and fuel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are as follows (amounts may not recalculate due to rounding):</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Mainline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mainline CASM</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Mainline CASM, excluding special items and fuel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CASM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2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1680" w:type="dxa"/>
            <w:vAlign w:val="bottom"/>
            <w:vMerge w:val="restart"/>
          </w:tcPr>
          <w:p>
            <w:pPr>
              <w:jc w:val="center"/>
              <w:ind w:left="12"/>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95"/>
        </w:trPr>
        <w:tc>
          <w:tcPr>
            <w:tcW w:w="2200" w:type="dxa"/>
            <w:vAlign w:val="bottom"/>
            <w:gridSpan w:val="3"/>
            <w:vMerge w:val="restart"/>
          </w:tcPr>
          <w:p>
            <w:pPr>
              <w:jc w:val="center"/>
              <w:ind w:left="933"/>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200" w:type="dxa"/>
            <w:vAlign w:val="bottom"/>
            <w:tcBorders>
              <w:bottom w:val="single" w:sz="8" w:color="auto"/>
            </w:tcBorders>
            <w:gridSpan w:val="3"/>
            <w:vMerge w:val="continue"/>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680" w:type="dxa"/>
            <w:vAlign w:val="bottom"/>
            <w:vMerge w:val="restart"/>
          </w:tcPr>
          <w:p>
            <w:pPr>
              <w:jc w:val="center"/>
              <w:ind w:left="12"/>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680" w:type="dxa"/>
            <w:vAlign w:val="bottom"/>
            <w:tcBorders>
              <w:bottom w:val="single" w:sz="8" w:color="auto"/>
            </w:tcBorders>
          </w:tcPr>
          <w:p>
            <w:pPr>
              <w:jc w:val="center"/>
              <w:ind w:left="12"/>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44"/>
        </w:trPr>
        <w:tc>
          <w:tcPr>
            <w:tcW w:w="4880" w:type="dxa"/>
            <w:vAlign w:val="bottom"/>
            <w:gridSpan w:val="5"/>
          </w:tcPr>
          <w:p>
            <w:pPr>
              <w:jc w:val="right"/>
              <w:ind w:right="1032"/>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9"/>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0.54</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0.61</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0"/>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0.24</w:t>
            </w:r>
          </w:p>
        </w:tc>
        <w:tc>
          <w:tcPr>
            <w:tcW w:w="1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1500" w:type="dxa"/>
            <w:vAlign w:val="bottom"/>
          </w:tcPr>
          <w:p>
            <w:pPr>
              <w:jc w:val="right"/>
              <w:ind w:right="53"/>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11.62</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1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7"/>
        </w:trPr>
        <w:tc>
          <w:tcPr>
            <w:tcW w:w="15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9.35</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6" w:lineRule="exact"/>
        <w:rPr>
          <w:sz w:val="20"/>
          <w:szCs w:val="20"/>
          <w:color w:val="auto"/>
        </w:rPr>
      </w:pPr>
    </w:p>
    <w:p>
      <w:pPr>
        <w:sectPr>
          <w:pgSz w:w="11900" w:h="16838" w:orient="portrait"/>
          <w:cols w:equalWidth="0" w:num="2">
            <w:col w:w="5820" w:space="720"/>
            <w:col w:w="4880"/>
          </w:cols>
          <w:pgMar w:left="240" w:top="760" w:right="239" w:bottom="1440" w:gutter="0" w:footer="0" w:header="0"/>
          <w:type w:val="continuous"/>
        </w:sectPr>
      </w:pPr>
    </w:p>
    <w:p>
      <w:pPr>
        <w:ind w:left="540" w:right="20" w:hanging="316"/>
        <w:spacing w:after="0" w:line="262"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19.5% primarily due to a 21.1% increase in the average price per gallon of fuel to $1.65 in the first nine months of 2017 from $1.36 in the 2016 period, offset in part by a 0.9% decrease in gallons of fuel consumed.</w:t>
      </w:r>
    </w:p>
    <w:p>
      <w:pPr>
        <w:spacing w:after="0" w:line="142" w:lineRule="exact"/>
        <w:rPr>
          <w:rFonts w:ascii="Arial" w:cs="Arial" w:eastAsia="Arial" w:hAnsi="Arial"/>
          <w:sz w:val="18"/>
          <w:szCs w:val="18"/>
          <w:color w:val="auto"/>
        </w:rPr>
      </w:pPr>
    </w:p>
    <w:p>
      <w:pPr>
        <w:jc w:val="both"/>
        <w:ind w:left="540" w:hanging="316"/>
        <w:spacing w:after="0" w:line="256"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Salaries, wages and benefits per ASM increased 8.6% primarily due to mid-contract pay rate increases for pilots and flight attendants effective in the second quarter of 2017, as well as rate increases for maintenance and fleet service work groups, which became effective mid-third quarter of 2016.</w:t>
      </w:r>
    </w:p>
    <w:p>
      <w:pPr>
        <w:spacing w:after="0" w:line="147" w:lineRule="exact"/>
        <w:rPr>
          <w:rFonts w:ascii="Arial" w:cs="Arial" w:eastAsia="Arial" w:hAnsi="Arial"/>
          <w:sz w:val="18"/>
          <w:szCs w:val="18"/>
          <w:color w:val="auto"/>
        </w:rPr>
      </w:pPr>
    </w:p>
    <w:p>
      <w:pPr>
        <w:jc w:val="both"/>
        <w:ind w:left="540" w:hanging="316"/>
        <w:spacing w:after="0" w:line="25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8.7% as compared to the 2016 period primarily due to a contract change impacting the timing of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151" w:lineRule="exact"/>
        <w:rPr>
          <w:rFonts w:ascii="Arial" w:cs="Arial" w:eastAsia="Arial" w:hAnsi="Arial"/>
          <w:sz w:val="18"/>
          <w:szCs w:val="18"/>
          <w:color w:val="auto"/>
        </w:rPr>
      </w:pPr>
    </w:p>
    <w:p>
      <w:pPr>
        <w:ind w:left="540" w:hanging="316"/>
        <w:spacing w:after="0" w:line="262"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Selling expenses per ASM increased 10.1% primarily due to higher revenues in the first nine months of 2017 as compared to the 2016 period, resulting in higher commissions.</w:t>
      </w:r>
    </w:p>
    <w:p>
      <w:pPr>
        <w:spacing w:after="0" w:line="142" w:lineRule="exact"/>
        <w:rPr>
          <w:rFonts w:ascii="Arial" w:cs="Arial" w:eastAsia="Arial" w:hAnsi="Arial"/>
          <w:sz w:val="18"/>
          <w:szCs w:val="18"/>
          <w:color w:val="auto"/>
        </w:rPr>
      </w:pPr>
    </w:p>
    <w:p>
      <w:pPr>
        <w:ind w:left="540" w:hanging="316"/>
        <w:spacing w:after="0" w:line="262"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and amortization per ASM increased 10.9% primarily due to aircraft purchased in connection with our fleet renewal program.</w:t>
      </w:r>
    </w:p>
    <w:p>
      <w:pPr>
        <w:spacing w:after="0" w:line="142" w:lineRule="exact"/>
        <w:rPr>
          <w:rFonts w:ascii="Arial" w:cs="Arial" w:eastAsia="Arial" w:hAnsi="Arial"/>
          <w:sz w:val="18"/>
          <w:szCs w:val="18"/>
          <w:color w:val="auto"/>
        </w:rPr>
      </w:pPr>
    </w:p>
    <w:p>
      <w:pPr>
        <w:ind w:left="540" w:hanging="316"/>
        <w:spacing w:after="0" w:line="262"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operating expenses per ASM increased 5.2% primarily due to expenses associated with improving our product offerings, customer experience and operational reliability.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60" w:right="239" w:bottom="1440" w:gutter="0" w:footer="0" w:header="0"/>
          <w:type w:val="continuous"/>
        </w:sectPr>
      </w:pPr>
    </w:p>
    <w:bookmarkStart w:id="47" w:name="page48"/>
    <w:bookmarkEnd w:id="47"/>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1"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31750</wp:posOffset>
            </wp:positionV>
            <wp:extent cx="22466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50"/>
        </w:trPr>
        <w:tc>
          <w:tcPr>
            <w:tcW w:w="21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 and other</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(3)</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450</w:t>
            </w: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(4)</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4"/>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463</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5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96" w:lineRule="exact"/>
        <w:rPr>
          <w:sz w:val="20"/>
          <w:szCs w:val="20"/>
          <w:color w:val="auto"/>
        </w:rPr>
      </w:pPr>
    </w:p>
    <w:p>
      <w:pPr>
        <w:jc w:val="both"/>
        <w:ind w:left="500" w:hanging="330"/>
        <w:spacing w:after="0" w:line="233"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relocation and severance.</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principally related to a gain on the sale of certain aircraft in the 2017 period and Merger integration expenses in the 2016 period.</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vMerge w:val="restart"/>
          </w:tcPr>
          <w:p>
            <w:pPr>
              <w:jc w:val="center"/>
              <w:ind w:left="34"/>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5"/>
        </w:trPr>
        <w:tc>
          <w:tcPr>
            <w:tcW w:w="5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3"/>
            <w:vMerge w:val="restart"/>
          </w:tcPr>
          <w:p>
            <w:pPr>
              <w:jc w:val="center"/>
              <w:ind w:left="496"/>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Increase</w:t>
            </w:r>
          </w:p>
        </w:tc>
        <w:tc>
          <w:tcPr>
            <w:tcW w:w="148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(Decrease)</w:t>
            </w:r>
          </w:p>
        </w:tc>
        <w:tc>
          <w:tcPr>
            <w:tcW w:w="1480" w:type="dxa"/>
            <w:vAlign w:val="bottom"/>
            <w:tcBorders>
              <w:bottom w:val="single" w:sz="8" w:color="auto"/>
            </w:tcBorders>
          </w:tcPr>
          <w:p>
            <w:pPr>
              <w:jc w:val="center"/>
              <w:ind w:left="34"/>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3,849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3,687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162</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regional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4,848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Regional operating expenses increased $360 million, or 8.0%, in the first nine months of 2017 from the 2016 period. The period-over-period increase was primarily due to a $ 198 million, or 24.7%, increase in fuel costs and a $162 million, or 4.4%, increase in other regional operating expenses. The average price per gallon of fuel increased 21.8% to $1.73 in the first nine months of 2017 from $1.42 in the 2016 period, on a 2.4% increase in consumption. The increase in other regional operating expenses was primarily driven by a 3.1% increase in capacity, principally from our wholly-owned regional carriers. See Note 10 to AAG’s Condensed Consolidated Financial Statements in Part I, Item 1A for further information on regional expenses.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23" w:right="239" w:bottom="1440" w:gutter="0" w:footer="0" w:header="0"/>
        </w:sectPr>
      </w:pPr>
    </w:p>
    <w:bookmarkStart w:id="48" w:name="page49"/>
    <w:bookmarkEnd w:id="48"/>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360" w:type="dxa"/>
            <w:vAlign w:val="bottom"/>
            <w:gridSpan w:val="4"/>
          </w:tcPr>
          <w:p>
            <w:pPr>
              <w:jc w:val="center"/>
              <w:ind w:left="437"/>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00" w:type="dxa"/>
            <w:vAlign w:val="bottom"/>
            <w:gridSpan w:val="3"/>
            <w:vMerge w:val="restart"/>
          </w:tcPr>
          <w:p>
            <w:pPr>
              <w:jc w:val="center"/>
              <w:ind w:right="25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Increase</w:t>
            </w:r>
          </w:p>
        </w:tc>
        <w:tc>
          <w:tcPr>
            <w:tcW w:w="1460" w:type="dxa"/>
            <w:vAlign w:val="bottom"/>
            <w:vMerge w:val="restart"/>
          </w:tcPr>
          <w:p>
            <w:pPr>
              <w:jc w:val="center"/>
              <w:ind w:left="3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5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6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(738)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8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86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(718)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Our short-term investments in each period consisted of highly liquid investments that provided relatively nominal returns. Interest income increased $25 million, or 55.4%, principally due to an increase in interest rates, which drove more than a 50 basis point increase in average yields in the first nine months of 2017 as compared to the 2016 period.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expense, net increased $ 49 million in the first nine months of 2017 as compared to the 2016 period primarily due to higher outstanding debt as a result of aircraft financings associated with our fleet renewal program.</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Other nonoperating expense, net in the 2016 period primarily included $36 million of net special charges consisting of debt issuance and extinguishment costs associated with a bond refinancing, offset in part by $19 million of foreign currency gains.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first nine months of 2017, we recorded an income tax provision of $998 million, which was substantially non-cash due to utilization of our NOLs. Substantially all of our income before income taxes is attributable to the United States. At December 31, 2016, we had approximately $10.5 billion of gross NOLs to reduce future federal taxable income, substantially all of which are expected to be available for use in 2017.</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Three Months Ended September 30, 2016</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realized pre-tax income of $1.0 billion and $1.2 billion in the third quarters of 2017 and 2016, respectively.</w:t>
      </w:r>
    </w:p>
    <w:p>
      <w:pPr>
        <w:spacing w:after="0" w:line="17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American’s third quarter 2017 pre-tax results were principally driven by higher wage rates and fuel costs, which were offset in part by higher revenues.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vMerge w:val="restart"/>
          </w:tcPr>
          <w:p>
            <w:pPr>
              <w:jc w:val="center"/>
              <w:ind w:left="13"/>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5"/>
        </w:trPr>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760" w:type="dxa"/>
            <w:vAlign w:val="bottom"/>
            <w:gridSpan w:val="5"/>
            <w:vMerge w:val="restart"/>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Increase</w:t>
            </w:r>
          </w:p>
        </w:tc>
        <w:tc>
          <w:tcPr>
            <w:tcW w:w="1580" w:type="dxa"/>
            <w:vAlign w:val="bottom"/>
            <w:vMerge w:val="restart"/>
          </w:tcPr>
          <w:p>
            <w:pPr>
              <w:jc w:val="center"/>
              <w:ind w:left="33"/>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(Decrease)</w:t>
            </w:r>
          </w:p>
        </w:tc>
        <w:tc>
          <w:tcPr>
            <w:tcW w:w="1580" w:type="dxa"/>
            <w:vAlign w:val="bottom"/>
            <w:tcBorders>
              <w:bottom w:val="single" w:sz="8" w:color="auto"/>
            </w:tcBorders>
          </w:tcPr>
          <w:p>
            <w:pPr>
              <w:jc w:val="center"/>
              <w:ind w:left="13"/>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1"/>
        </w:trPr>
        <w:tc>
          <w:tcPr>
            <w:tcW w:w="5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0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Regional passenger</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58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passenger revenues increased $227 million, or 2.5%, in the third quarter of 2017 from the 2016 period primarily driven by a period-over-period increase in consolidated passenger yields and continued strong demand.</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Cargo revenue increased $29 million, or 17.0%, in the third quarter of 2017 from the 2016 period primarily driven by an increase in freight volume.</w:t>
      </w:r>
    </w:p>
    <w:p>
      <w:pPr>
        <w:sectPr>
          <w:pgSz w:w="11900" w:h="16838" w:orient="portrait"/>
          <w:cols w:equalWidth="0" w:num="1">
            <w:col w:w="11420"/>
          </w:cols>
          <w:pgMar w:left="240" w:top="823"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823" w:right="239" w:bottom="1440" w:gutter="0" w:footer="0" w:header="0"/>
          <w:type w:val="continuous"/>
        </w:sectPr>
      </w:pPr>
    </w:p>
    <w:bookmarkStart w:id="49" w:name="page50"/>
    <w:bookmarkEnd w:id="49"/>
    <w:p>
      <w:pPr>
        <w:jc w:val="both"/>
        <w:ind w:firstLine="216"/>
        <w:spacing w:after="0" w:line="254" w:lineRule="auto"/>
        <w:rPr>
          <w:sz w:val="20"/>
          <w:szCs w:val="20"/>
          <w:color w:val="auto"/>
        </w:rPr>
      </w:pPr>
      <w:r>
        <w:rPr>
          <w:rFonts w:ascii="Arial" w:cs="Arial" w:eastAsia="Arial" w:hAnsi="Arial"/>
          <w:sz w:val="18"/>
          <w:szCs w:val="18"/>
          <w:color w:val="auto"/>
        </w:rPr>
        <w:t>Other revenue primarily includes revenue associated with American’s loyalty program, baggage fees, ticketing change fees, airport clubs and inflight services. In the third quarters of 2017 and 2016, other revenue associated with American’s loyalty program was $577 million and $569 million, respectively, of which $549 million and $540 million, respectively, related to the marketing component of mileage sales and other marketing related payments.</w:t>
      </w:r>
    </w:p>
    <w:p>
      <w:pPr>
        <w:spacing w:after="0" w:line="15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the third quarter of 2017 increased $284 million, or 2.7%, from the 2016 period driven principally by a 2.5% increase in total passenger revenues as described above.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center"/>
              <w:ind w:left="212"/>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vMerge w:val="restart"/>
          </w:tcPr>
          <w:p>
            <w:pPr>
              <w:jc w:val="center"/>
              <w:ind w:left="12"/>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gridSpan w:val="3"/>
            <w:vMerge w:val="restart"/>
          </w:tcPr>
          <w:p>
            <w:pPr>
              <w:jc w:val="center"/>
              <w:ind w:left="212"/>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Increase</w:t>
            </w:r>
          </w:p>
        </w:tc>
        <w:tc>
          <w:tcPr>
            <w:tcW w:w="1460" w:type="dxa"/>
            <w:vAlign w:val="bottom"/>
            <w:vMerge w:val="restart"/>
          </w:tcPr>
          <w:p>
            <w:pPr>
              <w:jc w:val="center"/>
              <w:ind w:left="32"/>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(Decrease)</w:t>
            </w:r>
          </w:p>
        </w:tc>
        <w:tc>
          <w:tcPr>
            <w:tcW w:w="1460" w:type="dxa"/>
            <w:vAlign w:val="bottom"/>
            <w:tcBorders>
              <w:bottom w:val="single" w:sz="8" w:color="auto"/>
            </w:tcBorders>
          </w:tcPr>
          <w:p>
            <w:pPr>
              <w:jc w:val="center"/>
              <w:ind w:left="32"/>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c>
          <w:tcPr>
            <w:tcW w:w="146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mainline operating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7,988</w:t>
            </w:r>
          </w:p>
        </w:tc>
        <w:tc>
          <w:tcPr>
            <w:tcW w:w="100" w:type="dxa"/>
            <w:vAlign w:val="bottom"/>
          </w:tcPr>
          <w:p>
            <w:pPr>
              <w:spacing w:after="0"/>
              <w:rPr>
                <w:sz w:val="21"/>
                <w:szCs w:val="21"/>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Mainline operating expenses increased $363 million, or 4.8%, in the third quarter of 2017 from the 2016 period. The increase in operating expenses was primarily driven by higher wage rates and fuel costs. Detailed explanations related to the changes in American’s mainline operating expenses are as follows:</w:t>
      </w:r>
    </w:p>
    <w:p>
      <w:pPr>
        <w:spacing w:after="0" w:line="94" w:lineRule="exact"/>
        <w:rPr>
          <w:sz w:val="20"/>
          <w:szCs w:val="20"/>
          <w:color w:val="auto"/>
        </w:rPr>
      </w:pPr>
    </w:p>
    <w:p>
      <w:pPr>
        <w:ind w:left="460" w:hanging="330"/>
        <w:spacing w:after="0" w:line="262"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Aircraft fuel and related taxes increased 12.7% primarily due to a 13.4% increase in the average price per gallon of fuel to $1.66 in the third quarter of 2017 from $1.46 in the 2016 period.</w:t>
      </w:r>
    </w:p>
    <w:p>
      <w:pPr>
        <w:spacing w:after="0" w:line="142" w:lineRule="exact"/>
        <w:rPr>
          <w:rFonts w:ascii="Arial" w:cs="Arial" w:eastAsia="Arial" w:hAnsi="Arial"/>
          <w:sz w:val="18"/>
          <w:szCs w:val="18"/>
          <w:color w:val="auto"/>
        </w:rPr>
      </w:pPr>
    </w:p>
    <w:p>
      <w:pPr>
        <w:jc w:val="both"/>
        <w:ind w:left="460" w:hanging="330"/>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Salaries, wages and benefits increased 8.0% primarily due to mid-contract pay rate increases for pilots and flight attendants effective in the second quarter of 2017, as well as rate increases for maintenance and fleet service work groups, which became effective mid-third quarter of 2016.</w:t>
      </w:r>
    </w:p>
    <w:p>
      <w:pPr>
        <w:spacing w:after="0" w:line="147" w:lineRule="exact"/>
        <w:rPr>
          <w:rFonts w:ascii="Arial" w:cs="Arial" w:eastAsia="Arial" w:hAnsi="Arial"/>
          <w:sz w:val="18"/>
          <w:szCs w:val="18"/>
          <w:color w:val="auto"/>
        </w:rPr>
      </w:pPr>
    </w:p>
    <w:p>
      <w:pPr>
        <w:ind w:left="460" w:hanging="330"/>
        <w:spacing w:after="0" w:line="262"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Selling expenses increased 15.1% primarily due to higher revenues in the third quarter of 2017 as compared to the 2016 period, resulting in higher commissions.</w:t>
      </w:r>
    </w:p>
    <w:p>
      <w:pPr>
        <w:spacing w:after="0" w:line="142" w:lineRule="exact"/>
        <w:rPr>
          <w:rFonts w:ascii="Arial" w:cs="Arial" w:eastAsia="Arial" w:hAnsi="Arial"/>
          <w:sz w:val="18"/>
          <w:szCs w:val="18"/>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Depreciation and amortization increased 8.6% primarily due to aircraft purchased in connection with American’s fleet renewal program.</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88"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31750</wp:posOffset>
            </wp:positionV>
            <wp:extent cx="23241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0"/>
        </w:trPr>
        <w:tc>
          <w:tcPr>
            <w:tcW w:w="21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r>
      <w:tr>
        <w:trPr>
          <w:trHeight w:val="276"/>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 and other</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64"/>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57"/>
        </w:trPr>
        <w:tc>
          <w:tcPr>
            <w:tcW w:w="77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270"/>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(3)</w:t>
            </w:r>
          </w:p>
        </w:tc>
        <w:tc>
          <w:tcPr>
            <w:tcW w:w="1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r>
      <w:tr>
        <w:trPr>
          <w:trHeight w:val="244"/>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r>
      <w:tr>
        <w:trPr>
          <w:trHeight w:val="20"/>
        </w:trPr>
        <w:tc>
          <w:tcPr>
            <w:tcW w:w="21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5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760" w:right="239" w:bottom="1440" w:gutter="0" w:footer="0" w:header="0"/>
          <w:type w:val="continuous"/>
        </w:sectPr>
      </w:pPr>
    </w:p>
    <w:bookmarkStart w:id="50" w:name="page51"/>
    <w:bookmarkEnd w:id="50"/>
    <w:p>
      <w:pPr>
        <w:jc w:val="both"/>
        <w:ind w:left="500" w:hanging="330"/>
        <w:spacing w:after="0" w:line="233"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relocation and severance.</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principally related to Merger integration expenses.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center"/>
              <w:ind w:left="214"/>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gridSpan w:val="3"/>
            <w:vMerge w:val="restart"/>
          </w:tcPr>
          <w:p>
            <w:pPr>
              <w:jc w:val="center"/>
              <w:ind w:left="214"/>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Increase</w:t>
            </w:r>
          </w:p>
        </w:tc>
        <w:tc>
          <w:tcPr>
            <w:tcW w:w="1460" w:type="dxa"/>
            <w:vAlign w:val="bottom"/>
            <w:vMerge w:val="restart"/>
          </w:tcPr>
          <w:p>
            <w:pPr>
              <w:jc w:val="center"/>
              <w:ind w:left="3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w:t>
            </w: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regional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Regional operating expenses increased $128 million, or 8.3%, in the third quarter of 2017 from the 2016 period. The period-over-period increase was primarily due to a $49 million, or 16.1%, increase in fuel costs and a $79 million, or 6.4%, increase in other regional operating expenses. The average price per gallon of fuel increased 13.1% to $1.75 in the third quarter of 2017 from $1.55 in the 2016 period, on a 2.6% increase in consumption. The increase in other regional operating expenses was primarily driven by increased capacity. See Note 8 to American’s Condensed Consolidated Financial Statements in Part I, Item 1B for further information on regional expenses.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360" w:type="dxa"/>
            <w:vAlign w:val="bottom"/>
            <w:gridSpan w:val="4"/>
          </w:tcPr>
          <w:p>
            <w:pPr>
              <w:jc w:val="center"/>
              <w:ind w:left="434"/>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80" w:type="dxa"/>
            <w:vAlign w:val="bottom"/>
            <w:gridSpan w:val="3"/>
            <w:vMerge w:val="restart"/>
          </w:tcPr>
          <w:p>
            <w:pPr>
              <w:jc w:val="center"/>
              <w:ind w:right="277"/>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Increase</w:t>
            </w:r>
          </w:p>
        </w:tc>
        <w:tc>
          <w:tcPr>
            <w:tcW w:w="1460" w:type="dxa"/>
            <w:vAlign w:val="bottom"/>
            <w:vMerge w:val="restart"/>
          </w:tcPr>
          <w:p>
            <w:pPr>
              <w:jc w:val="center"/>
              <w:ind w:left="3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6"/>
        </w:trPr>
        <w:tc>
          <w:tcPr>
            <w:tcW w:w="5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6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(250)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(181)</w:t>
            </w:r>
          </w:p>
        </w:tc>
        <w:tc>
          <w:tcPr>
            <w:tcW w:w="100" w:type="dxa"/>
            <w:vAlign w:val="bottom"/>
          </w:tcPr>
          <w:p>
            <w:pPr>
              <w:spacing w:after="0"/>
              <w:rPr>
                <w:sz w:val="21"/>
                <w:szCs w:val="21"/>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4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short-term investments in each period consisted of highly liquid investments that provided relatively nominal returns. Interest income increased $28 million principally due to an increase in interest rates, which drove more than a 50 basis point increase in average yields in the third quarter of 2017 as compared to the 2016 period.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expense, net increased $ 21 million in the third quarter of 2017 as compared to the 2016 period primarily due to higher outstanding debt as a result of aircraft financings associated with American’s fleet renewal program.</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third quarter 2017, American recorded an income tax provision of $395 million, which was substantially non-cash due to utilization of its NOLs. Substantially all of American’s income before income taxes is attributable to the United States. At December 31, 2016, American had approximately $11.3 billion of gross NOLs to reduce future federal taxable income, substantially all of which are expected to be available for use in 2017.</w:t>
      </w:r>
    </w:p>
    <w:p>
      <w:pPr>
        <w:spacing w:after="0" w:line="15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See Note 4 to American’s Condensed Consolidated Financial Statements in Part I, Item 1B for additional information on income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7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Nine Months Ended September 30, 2017 Compared to Nine Months Ended September 30, 2016</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realized pre-tax income of $2.8 billion and $3.9 billion in the first nine months of 2017 and 2016, respectively.</w:t>
      </w:r>
    </w:p>
    <w:p>
      <w:pPr>
        <w:spacing w:after="0" w:line="17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American’s pre-tax results for the first nine months of 2017 were principally driven by higher wage rates and fuel costs, which were offset in part by higher revenues.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2980" w:type="dxa"/>
            <w:vAlign w:val="bottom"/>
            <w:gridSpan w:val="6"/>
            <w:vMerge w:val="restart"/>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jc w:val="center"/>
              <w:ind w:left="33"/>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3"/>
        </w:trPr>
        <w:tc>
          <w:tcPr>
            <w:tcW w:w="56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Increase</w:t>
            </w:r>
          </w:p>
        </w:tc>
        <w:tc>
          <w:tcPr>
            <w:tcW w:w="1480" w:type="dxa"/>
            <w:vAlign w:val="bottom"/>
            <w:vMerge w:val="restart"/>
          </w:tcPr>
          <w:p>
            <w:pPr>
              <w:jc w:val="center"/>
              <w:ind w:left="13"/>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76"/>
        </w:trPr>
        <w:tc>
          <w:tcPr>
            <w:tcW w:w="56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(Decrease)</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1"/>
        </w:trPr>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Regional passenger</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3,639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277</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passenger revenues increased $882 million, or 3.4%, in the first nine months of 2017 from the 2016 period primarily driven by a period-over-period increase in consolidated passenger yields and continued strong demand.</w:t>
      </w:r>
    </w:p>
    <w:p>
      <w:pPr>
        <w:spacing w:after="0" w:line="14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Cargo revenue increased $62 million, or 12.2%, in the first nine months of 2017 from the 2016 period primarily driven by an increase in freight volume.</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Other revenue primarily includes revenue associated with American’s loyalty program, baggage fees, ticketing change fees, airport clubs and inflight services. Other revenue increased $277 million, or 7.6%, in the first nine months of 2017 from the 2016 period primarily driven by an increase in loyalty program revenue. In the first nine months of 2017 and 2016, other revenue associated with American’s loyalty program was $ 1.8 billion and $1.5 billion, respectively, of which $1.6 billion and $1.4 billion, respectively, related to the marketing component of mileage sales and other marketing related payments. This period-over-period increase was primarily due to revenues associated with our new co-branded credit card agreements that became effective in the third quarter of 2016.</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Total operating revenues in the first nine months of 2017 increased $1.2 billion, or 4.0%, from the 2016 period driven principally by a 3.4% increase in total passenger revenues as described above.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jc w:val="center"/>
              <w:ind w:left="12"/>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3"/>
        </w:trPr>
        <w:tc>
          <w:tcPr>
            <w:tcW w:w="5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Increase</w:t>
            </w:r>
          </w:p>
        </w:tc>
        <w:tc>
          <w:tcPr>
            <w:tcW w:w="1580" w:type="dxa"/>
            <w:vAlign w:val="bottom"/>
            <w:vMerge w:val="restart"/>
          </w:tcPr>
          <w:p>
            <w:pPr>
              <w:jc w:val="center"/>
              <w:ind w:left="32"/>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76"/>
        </w:trPr>
        <w:tc>
          <w:tcPr>
            <w:tcW w:w="52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(Decrease)</w:t>
            </w:r>
          </w:p>
        </w:tc>
        <w:tc>
          <w:tcPr>
            <w:tcW w:w="1580" w:type="dxa"/>
            <w:vAlign w:val="bottom"/>
            <w:tcBorders>
              <w:bottom w:val="single" w:sz="8" w:color="auto"/>
            </w:tcBorders>
          </w:tcPr>
          <w:p>
            <w:pPr>
              <w:jc w:val="center"/>
              <w:ind w:left="12"/>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1"/>
        </w:trPr>
        <w:tc>
          <w:tcPr>
            <w:tcW w:w="5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0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8,087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3,391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Total mainline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23,382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21,384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1,998</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Mainline operating expenses increased $2.0 billion, or 9.3%, in the first nine months of 2017 from the 2016 period. The increase in operating expenses was primarily driven by higher wage rates and fuel costs. Detailed explanations related to the changes in American’s mainline operating expenses are as follows:</w:t>
      </w:r>
    </w:p>
    <w:p>
      <w:pPr>
        <w:sectPr>
          <w:pgSz w:w="11900" w:h="16838" w:orient="portrait"/>
          <w:cols w:equalWidth="0" w:num="1">
            <w:col w:w="11420"/>
          </w:cols>
          <w:pgMar w:left="240" w:top="819" w:right="2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819" w:right="239" w:bottom="1440" w:gutter="0" w:footer="0" w:header="0"/>
          <w:type w:val="continuous"/>
        </w:sectPr>
      </w:pPr>
    </w:p>
    <w:bookmarkStart w:id="52" w:name="page53"/>
    <w:bookmarkEnd w:id="52"/>
    <w:p>
      <w:pPr>
        <w:ind w:left="460" w:hanging="330"/>
        <w:spacing w:after="0" w:line="26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Aircraft fuel and related taxes increased 19.9% primarily due to a 21.1% increase in the average price per gallon of fuel to $1.65 in the first nine months of 2017 from $1.36 in the 2016 period, offset in part by a 0.9% decrease in gallons of fuel consumed.</w:t>
      </w:r>
    </w:p>
    <w:p>
      <w:pPr>
        <w:spacing w:after="0" w:line="142" w:lineRule="exact"/>
        <w:rPr>
          <w:rFonts w:ascii="Arial" w:cs="Arial" w:eastAsia="Arial" w:hAnsi="Arial"/>
          <w:sz w:val="18"/>
          <w:szCs w:val="18"/>
          <w:color w:val="auto"/>
        </w:rPr>
      </w:pPr>
    </w:p>
    <w:p>
      <w:pPr>
        <w:jc w:val="both"/>
        <w:ind w:left="460" w:hanging="330"/>
        <w:spacing w:after="0" w:line="25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Salaries, wages and benefits increased 9.0% primarily due to mid-contract pay rate increases for pilots and flight attendants effective in the second quarter of 2017, as well as rate increases for maintenance and fleet service work groups, which became effective mid-third quarter of 2016.</w:t>
      </w:r>
    </w:p>
    <w:p>
      <w:pPr>
        <w:spacing w:after="0" w:line="147" w:lineRule="exact"/>
        <w:rPr>
          <w:rFonts w:ascii="Arial" w:cs="Arial" w:eastAsia="Arial" w:hAnsi="Arial"/>
          <w:sz w:val="18"/>
          <w:szCs w:val="18"/>
          <w:color w:val="auto"/>
        </w:rPr>
      </w:pPr>
    </w:p>
    <w:p>
      <w:pPr>
        <w:jc w:val="both"/>
        <w:ind w:left="460" w:hanging="330"/>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Maintenance, materials and repairs increased 9.1% as compared to the 2016 period primarily due to a contract change impacting the timing of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150" w:lineRule="exact"/>
        <w:rPr>
          <w:rFonts w:ascii="Arial" w:cs="Arial" w:eastAsia="Arial" w:hAnsi="Arial"/>
          <w:sz w:val="18"/>
          <w:szCs w:val="18"/>
          <w:color w:val="auto"/>
        </w:rPr>
      </w:pPr>
    </w:p>
    <w:p>
      <w:pPr>
        <w:ind w:left="460" w:hanging="330"/>
        <w:spacing w:after="0" w:line="26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Selling expenses increased 10.5% primarily due to higher revenues in the first nine months of 2017 as compared to the 2016 period, resulting in higher commissions.</w:t>
      </w:r>
    </w:p>
    <w:p>
      <w:pPr>
        <w:spacing w:after="0" w:line="142" w:lineRule="exact"/>
        <w:rPr>
          <w:rFonts w:ascii="Arial" w:cs="Arial" w:eastAsia="Arial" w:hAnsi="Arial"/>
          <w:sz w:val="18"/>
          <w:szCs w:val="18"/>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Depreciation and amortization increased 11.3% primarily due to aircraft purchased in connection with American’s fleet renewal program.</w:t>
      </w:r>
    </w:p>
    <w:p>
      <w:pPr>
        <w:spacing w:after="0" w:line="171" w:lineRule="exact"/>
        <w:rPr>
          <w:rFonts w:ascii="Arial" w:cs="Arial" w:eastAsia="Arial" w:hAnsi="Arial"/>
          <w:sz w:val="18"/>
          <w:szCs w:val="18"/>
          <w:color w:val="auto"/>
        </w:rPr>
      </w:pPr>
    </w:p>
    <w:p>
      <w:pPr>
        <w:ind w:left="460" w:hanging="330"/>
        <w:spacing w:after="0" w:line="26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operating expenses increased 5.4% primarily due to expenses associated with improving our product offerings, customer experience and operational reliability.</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88"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31750</wp:posOffset>
            </wp:positionV>
            <wp:extent cx="22466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50"/>
        </w:trPr>
        <w:tc>
          <w:tcPr>
            <w:tcW w:w="7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r>
      <w:tr>
        <w:trPr>
          <w:trHeight w:val="27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Mark-to-market adjustments for bankruptcy obligations and other</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(3)</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450</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(4)</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4"/>
        </w:trPr>
        <w:tc>
          <w:tcPr>
            <w:tcW w:w="7880" w:type="dxa"/>
            <w:vAlign w:val="bottom"/>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461</w:t>
            </w:r>
          </w:p>
        </w:tc>
      </w:tr>
      <w:tr>
        <w:trPr>
          <w:trHeight w:val="20"/>
        </w:trPr>
        <w:tc>
          <w:tcPr>
            <w:tcW w:w="7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3" w:lineRule="auto"/>
        <w:tabs>
          <w:tab w:leader="none" w:pos="50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relocation and severance.</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principally related to Merger integration expenses.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79" w:right="239" w:bottom="1440" w:gutter="0" w:footer="0" w:header="0"/>
        </w:sectPr>
      </w:pPr>
    </w:p>
    <w:bookmarkStart w:id="53" w:name="page54"/>
    <w:bookmarkEnd w:id="53"/>
    <w:p>
      <w:pPr>
        <w:ind w:left="2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960" w:type="dxa"/>
            <w:vAlign w:val="bottom"/>
            <w:gridSpan w:val="6"/>
            <w:vMerge w:val="restart"/>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tcPr>
          <w:p>
            <w:pPr>
              <w:jc w:val="center"/>
              <w:ind w:left="14"/>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3"/>
        </w:trPr>
        <w:tc>
          <w:tcPr>
            <w:tcW w:w="562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Increase</w:t>
            </w:r>
          </w:p>
        </w:tc>
        <w:tc>
          <w:tcPr>
            <w:tcW w:w="1460" w:type="dxa"/>
            <w:vAlign w:val="bottom"/>
            <w:vMerge w:val="restart"/>
          </w:tcPr>
          <w:p>
            <w:pPr>
              <w:jc w:val="center"/>
              <w:ind w:left="3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76"/>
        </w:trPr>
        <w:tc>
          <w:tcPr>
            <w:tcW w:w="56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182</w:t>
            </w: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regional operating expenses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Regional operating expenses increased $380 million, or 8.5%, in the first nine months of 2017 from the 2016 period. The period-over-period increase was primarily due to a $ 198 million, or 24.7%, increase in fuel costs and a $182 million, or 5.0%, increase in other regional operating expenses. The average price per gallon of fuel increased 21.8% to $1.73 in the first nine months of 2017 from $1.42 in the 2016 period, on a 2.4% increase in consumption. The increase in other regional operating expenses was primarily driven by increased capacity. See Note 8 to American’s Condensed Consolidated Financial Statements in Part I, Item 1B for further information on regional expenses.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960" w:type="dxa"/>
            <w:vAlign w:val="bottom"/>
            <w:gridSpan w:val="6"/>
            <w:vMerge w:val="restart"/>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tcPr>
          <w:p>
            <w:pPr>
              <w:jc w:val="center"/>
              <w:ind w:left="14"/>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93"/>
        </w:trPr>
        <w:tc>
          <w:tcPr>
            <w:tcW w:w="562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Increase</w:t>
            </w:r>
          </w:p>
        </w:tc>
        <w:tc>
          <w:tcPr>
            <w:tcW w:w="1460" w:type="dxa"/>
            <w:vAlign w:val="bottom"/>
            <w:vMerge w:val="restart"/>
          </w:tcPr>
          <w:p>
            <w:pPr>
              <w:jc w:val="center"/>
              <w:ind w:left="3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76"/>
        </w:trPr>
        <w:tc>
          <w:tcPr>
            <w:tcW w:w="562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(738)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(572)</w:t>
            </w:r>
          </w:p>
        </w:tc>
        <w:tc>
          <w:tcPr>
            <w:tcW w:w="100" w:type="dxa"/>
            <w:vAlign w:val="bottom"/>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w:t>
            </w:r>
          </w:p>
        </w:tc>
        <w:tc>
          <w:tcPr>
            <w:tcW w:w="14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short-term investments in each period consisted of highly liquid investments that provided relatively nominal returns. Interest income increased $84 million principally due to an increase in interest rates, which drove more than a 50 basis point increase in average yields in the first nine months of 2017 as compared to the 2016 period.</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expense, net increased $ 64 million in the first nine months of 2017 as compared to the 2016 period primarily due to higher outstanding debt as a result of aircraft financings associated with American’s fleet renewal program.</w:t>
      </w:r>
    </w:p>
    <w:p>
      <w:pPr>
        <w:spacing w:after="0" w:line="14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Other nonoperating expense, net in the 2016 period primarily included $36 million of net special charges consisting of debt issuance and extinguishment costs associated with a bond refinancing, offset in part by $19 million of foreign currency gains.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first nine months of 2017, American recorded an income tax provision of $1.0 billion, which was substantially non-cash due to utilization of its NOLs. Substantially all of American’s income before income taxes is attributable to the United States. At December 31, 2016, American had approximately $11.3 billion of gross NOLs to reduce future federal taxable income, substantially all of which are expected to be available for use in 2017.</w:t>
      </w:r>
    </w:p>
    <w:p>
      <w:pPr>
        <w:spacing w:after="0" w:line="15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See Note 4 to American’s Condensed Consolidated Financial Statements in Part I, Item 1B for additional information on income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23"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September 30, 2017, AAG had approximately $8.3 billion in total available liquidity and $393 million in restricted cash and short-term investments. Additional detail of our available liquidity is provided in the table below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AAG</w:t>
            </w:r>
          </w:p>
        </w:tc>
        <w:tc>
          <w:tcPr>
            <w:tcW w:w="1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264"/>
        </w:trPr>
        <w:tc>
          <w:tcPr>
            <w:tcW w:w="4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w:t>
            </w:r>
          </w:p>
        </w:tc>
      </w:tr>
      <w:tr>
        <w:trPr>
          <w:trHeight w:val="263"/>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6,034</w:t>
            </w:r>
          </w:p>
        </w:tc>
      </w:tr>
      <w:tr>
        <w:trPr>
          <w:trHeight w:val="27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Undrawn revolving credit facilities</w:t>
            </w:r>
          </w:p>
        </w:tc>
        <w:tc>
          <w:tcPr>
            <w:tcW w:w="1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2,425</w:t>
            </w:r>
          </w:p>
        </w:tc>
      </w:tr>
      <w:tr>
        <w:trPr>
          <w:trHeight w:val="244"/>
        </w:trPr>
        <w:tc>
          <w:tcPr>
            <w:tcW w:w="4240" w:type="dxa"/>
            <w:vAlign w:val="bottom"/>
          </w:tcPr>
          <w:p>
            <w:pPr>
              <w:ind w:left="200"/>
              <w:spacing w:after="0"/>
              <w:rPr>
                <w:sz w:val="20"/>
                <w:szCs w:val="20"/>
                <w:color w:val="auto"/>
              </w:rPr>
            </w:pPr>
            <w:r>
              <w:rPr>
                <w:rFonts w:ascii="Arial" w:cs="Arial" w:eastAsia="Arial" w:hAnsi="Arial"/>
                <w:sz w:val="18"/>
                <w:szCs w:val="18"/>
                <w:color w:val="auto"/>
              </w:rPr>
              <w:t>Total available liquidity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8,268</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8,769</w:t>
            </w:r>
          </w:p>
        </w:tc>
      </w:tr>
      <w:tr>
        <w:trPr>
          <w:trHeight w:val="20"/>
        </w:trPr>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Since July 2014, our Board of Directors has approved six share repurchase programs aggregating $11.0 billion of authority. As of September 30, 2017, $677 million remained unused under a repurchase program that expires on December 31, 2018.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During the three months ended September 30, 2017, we repurchased 7.7 million shares of AAG common stock for $362 million at a weighted average cost per share of $46.97. During the nine months ended September 30, 2017, we repurchased 29.4 million shares of AAG common stock for $1.3 billion at a weighted average cost per share of $45.05. Since the inception of our share repurchase programs in July 2014, we have repurchased 257.7 million shares of AAG common stock for $10.3 billion at a weighted average cost per share of $40.05.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Board of Directors declared the following cash dividends during the first nine months of 2017:</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stockholders</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556"/>
              <w:spacing w:after="0"/>
              <w:rPr>
                <w:sz w:val="20"/>
                <w:szCs w:val="20"/>
                <w:color w:val="auto"/>
              </w:rPr>
            </w:pPr>
            <w:r>
              <w:rPr>
                <w:rFonts w:ascii="Arial" w:cs="Arial" w:eastAsia="Arial" w:hAnsi="Arial"/>
                <w:sz w:val="14"/>
                <w:szCs w:val="14"/>
                <w:b w:val="1"/>
                <w:bCs w:val="1"/>
                <w:color w:val="auto"/>
              </w:rPr>
              <w:t>Total</w:t>
            </w:r>
          </w:p>
        </w:tc>
      </w:tr>
      <w:tr>
        <w:trPr>
          <w:trHeight w:val="196"/>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record as of</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Payable on</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(millions)</w:t>
            </w: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13, 2017</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February 27, 2017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r>
      <w:tr>
        <w:trPr>
          <w:trHeight w:val="26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May 16, 2017</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May 30, 2017</w:t>
            </w:r>
          </w:p>
        </w:tc>
        <w:tc>
          <w:tcPr>
            <w:tcW w:w="30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50</w:t>
            </w:r>
          </w:p>
        </w:tc>
      </w:tr>
      <w:tr>
        <w:trPr>
          <w:trHeight w:val="27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August 14, 2017</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August 28, 2017</w:t>
            </w: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r>
      <w:tr>
        <w:trPr>
          <w:trHeight w:val="244"/>
        </w:trPr>
        <w:tc>
          <w:tcPr>
            <w:tcW w:w="43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150</w:t>
            </w: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October 2017, we announced that our Board of Directors had declared a $0.10 per share dividend for stockholders of record on November 13, 2017, and payable on November 27, 2017.</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net cash provided by operating activities was $4.3 billion and $5.9 billion for the first nine months of 2017 and 2016, respectively, a period-over-period decrease of $ 1.6 billion. The decrease was primarily due to lower profitability in the first nine months of 2017 driven by higher wage rates and fuel costs, which were offset in part by higher revenues. Additionally, we made a $256 million supplemental contribution to our pension plans in the 2017 period.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19" w:right="239" w:bottom="1440" w:gutter="0" w:footer="0" w:header="0"/>
        </w:sectPr>
      </w:pPr>
    </w:p>
    <w:bookmarkStart w:id="55" w:name="page56"/>
    <w:bookmarkEnd w:id="55"/>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$3.1 billion and $4.6 billion for the first nine months of 2017 and 2016, respectively.</w:t>
      </w:r>
    </w:p>
    <w:p>
      <w:pPr>
        <w:spacing w:after="0" w:line="18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investing activities in the 2017 period included expenditures of $4.6 billion for property and equipment, primarily 58 aircraft, including 20 Airbus A321 aircraft, 15 Boeing 737-800 aircraft, 12 Embraer 175 aircraft, 10 Boeing 787 Family aircraft and one Boeing 737-8 MAX aircraft, as well as a $203 million equity investment in China Southern Airlines Company Limited (China Southern Airlines). These cash outflows were offset in part by $831 million of net proceeds from the sale of property and equipment, primarily including cash proceeds from aircraft sale-leaseback transactions, and $621 million in net sales of short-term investments.</w:t>
      </w:r>
    </w:p>
    <w:p>
      <w:pPr>
        <w:spacing w:after="0" w:line="20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investing activities in the 2016 period included expenditures of $ 4.3 billion for property and equipment, primarily 77 aircraft, including 19 Airbus A321 aircraft, 18 Bombardier CRJ900 aircraft, 18 Embraer 175 aircraft, 15 Boeing 737-800 aircraft, five Boeing 787 Family aircraft and two Boeing 777 aircraft. We also had $491 million in net purchases of short-term investments.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financing activities was $1.2 billion and $1.3 billion for the first nine months of 2017 and 2016, respectively.</w:t>
      </w:r>
    </w:p>
    <w:p>
      <w:pPr>
        <w:spacing w:after="0" w:line="22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financing activities in the 2017 period included net proceeds of $2.2 billion from the issuance of debt, primarily the issuance of $1.3 billion of EETCs and $815 million borrowed in connection with the financing of certain aircraft. These cash inflows were offset in part by $1.8 billion in scheduled debt repayments, $1.4 billion in share repurchases and $150 million in dividend payments.</w:t>
      </w:r>
    </w:p>
    <w:p>
      <w:pPr>
        <w:spacing w:after="0" w:line="20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principal financing activities in the 2016 period included net proceeds of $ 5.4 billion from the issuance of debt, primarily including the issuance of $2.1 billion of EETCs, $ 1.0 billion provided under the 2016 Term Loan Facility, an $844 million issuance of special facility revenue refunding bonds related to JFK and an additional $1.4 billion borrowed in connection with the financing of certain aircraft. These cash inflows were offset in part by $3.9 billion in share repurchases, $2.5 billion in debt repayments, primarily including the repayment of $588 million in remaining principal of the 2013 Citicorp Credit Facility Tranche B-2 and the refunding of approximately $1.0 billion of special facility revenue bonds related to JFK, and $172 million in dividend payments.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American’s net cash provided by operating activities was $2.7 billion and $1.8 billion for the first nine months of 2017 and 2016, respectively, a period-over-period increase of $969 million. We have the ability to move funds freely between our subsidiaries to support our cash requirements. The increase in operating cash flows during the first nine months of 2017 as compared to the 2016 period was primarily due to a decrease in intercompany cash transfers from American to AAG. This increase in operating cash flows was offset in part by lower profitability in the first nine months of 2017 driven by higher wage rates and fuel costs, which were offset in part by higher revenues. Additionally, American made a $256 million supplemental contribution to its pension plans in the 2017 period.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$3.0 billion and $4.6 billion for the first nine months of 2017 and 2016, respectively.</w:t>
      </w:r>
    </w:p>
    <w:p>
      <w:pPr>
        <w:spacing w:after="0" w:line="22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principal investing activities in the 2017 period included expenditures of $4.5 billion for property and equipment, primarily 58 aircraft, including 20 Airbus A321 aircraft, 15 Boeing 737-800 aircraft, 12 Embraer 175 aircraft, 10 Boeing 787 Family aircraft and one Boeing 737-8 MAX aircraft, as well as a $203 million equity investment in China Southern Airlines. These cash outflows were offset in part by $816 million of net proceeds from the sale of property and equipment, primarily including cash proceeds from aircraft sale-leaseback transactions, and $621 million in net sales of short-term investments.</w:t>
      </w:r>
    </w:p>
    <w:p>
      <w:pPr>
        <w:spacing w:after="0" w:line="206"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American’s principal investing activities in the 2016 period included expenditures of $ 4.2 billion for property and equipment, primarily 77 aircraft, including 19 Airbus A321 aircraft, 18 Bombardier CRJ900 aircraft, 18 Embraer 175 aircraft, 15 Boeing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55" w:right="239" w:bottom="1440" w:gutter="0" w:footer="0" w:header="0"/>
        </w:sectPr>
      </w:pPr>
    </w:p>
    <w:bookmarkStart w:id="56" w:name="page57"/>
    <w:bookmarkEnd w:id="56"/>
    <w:p>
      <w:pPr>
        <w:jc w:val="both"/>
        <w:spacing w:after="0" w:line="262" w:lineRule="auto"/>
        <w:rPr>
          <w:sz w:val="20"/>
          <w:szCs w:val="20"/>
          <w:color w:val="auto"/>
        </w:rPr>
      </w:pPr>
      <w:r>
        <w:rPr>
          <w:rFonts w:ascii="Arial" w:cs="Arial" w:eastAsia="Arial" w:hAnsi="Arial"/>
          <w:sz w:val="18"/>
          <w:szCs w:val="18"/>
          <w:color w:val="auto"/>
        </w:rPr>
        <w:t>737-800 aircraft, five Boeing 787 Family aircraft and two Boeing 777 aircraft. American also had $491 million in net purchases of short-term investments.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American’s net cash provided by financing activities was $302 million and $2.8 billion for the first nine months of 2017 and 2016, respectively.</w:t>
      </w:r>
    </w:p>
    <w:p>
      <w:pPr>
        <w:spacing w:after="0" w:line="19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financing activities in the 2017 period included net proceeds of $2.2 billion from the issuance of debt, primarily the issuance of $1.3 billion of EETCs and $ 815 million borrowed in connection with the financing of certain aircraft. These cash inflows were offset in part by $1.8 billion in scheduled debt repayments.</w:t>
      </w:r>
    </w:p>
    <w:p>
      <w:pPr>
        <w:spacing w:after="0" w:line="20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principal financing activities in the 2016 period included net proceeds of $5.4 billion from the issuance of debt, primarily including the issuance of $2.1 billion of EETCs, $1.0 billion provided under the 2016 Term Loan Facility, an $844 million issuance of special facility revenue refunding bonds related to JFK and an additional $1.4 billion borrowed in connection with the financing of certain aircraft. These cash inflows were offset in part by $2.5 billion in debt repayments, primarily including the repayment of $588 million in remaining principal of the 2013 Citicorp Credit Facility Tranche B-2 and the refunding of approximately $1.0 billion of special facility revenue bonds related to JFK.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September 30, 2017, AAG and American had $24.9 billion and $23.1 billion, respectively, including current maturities of $2.5 billion and $2.0 billion, respectively, in long-term debt and capital leases. During the nine months ended September 30, 2017, there have been no material changes in our significant indebtedness as discussed in our 2016 Form 10-K, except as discussed in Note 5 to AAG’s Condensed Consolidated Financial Statements in Part I, Item 1A and Note 3 to American’s Condensed Consolidated Financial Statements in Part I, Item 1B.</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Certain of our debt financing agreements contain loan to value ratio covenants and require us to appraise the related collateral annually. Pursuant to such agreements, if the loan to value ratio exceeds a specified threshold, we are required, as applicable, to pledge additional qualifying collateral (which in some cases may include cash collateral), or pay down such financing, in whole or in part. As of September 30, 2017, we were in compliance with the collateral coverage tests for the 2013 Credit Facilities, the 2014 Credit Facilities, the April 2016 Credit Facilities and the December 2016 Credit Facilities as of the most recent measurement dates.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details AAG and American’s credit ratings as of September 30, 2017:</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Current Rating</w:t>
            </w:r>
          </w:p>
        </w:tc>
      </w:tr>
      <w:tr>
        <w:trPr>
          <w:trHeight w:val="256"/>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Local Issuer Credit Rating</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50"/>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Fitch Issuer Default Credit Rating</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BB-</w:t>
            </w:r>
          </w:p>
        </w:tc>
      </w:tr>
      <w:tr>
        <w:trPr>
          <w:trHeight w:val="26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Moody’s Corporate Family Rating </w:t>
            </w:r>
            <w:r>
              <w:rPr>
                <w:rFonts w:ascii="Arial" w:cs="Arial" w:eastAsia="Arial" w:hAnsi="Arial"/>
                <w:sz w:val="21"/>
                <w:szCs w:val="21"/>
                <w:color w:val="auto"/>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Ba3</w:t>
            </w:r>
          </w:p>
        </w:tc>
      </w:tr>
      <w:tr>
        <w:trPr>
          <w:trHeight w:val="257"/>
        </w:trPr>
        <w:tc>
          <w:tcPr>
            <w:tcW w:w="2120" w:type="dxa"/>
            <w:vAlign w:val="bottom"/>
            <w:tcBorders>
              <w:bottom w:val="single" w:sz="8" w:color="auto"/>
            </w:tcBorders>
          </w:tcPr>
          <w:p>
            <w:pPr>
              <w:spacing w:after="0"/>
              <w:rPr>
                <w:sz w:val="22"/>
                <w:szCs w:val="22"/>
                <w:color w:val="auto"/>
              </w:rPr>
            </w:pPr>
          </w:p>
        </w:tc>
        <w:tc>
          <w:tcPr>
            <w:tcW w:w="7480" w:type="dxa"/>
            <w:vAlign w:val="bottom"/>
          </w:tcPr>
          <w:p>
            <w:pPr>
              <w:spacing w:after="0"/>
              <w:rPr>
                <w:sz w:val="22"/>
                <w:szCs w:val="22"/>
                <w:color w:val="auto"/>
              </w:rPr>
            </w:pPr>
          </w:p>
        </w:tc>
        <w:tc>
          <w:tcPr>
            <w:tcW w:w="1820" w:type="dxa"/>
            <w:vAlign w:val="bottom"/>
          </w:tcPr>
          <w:p>
            <w:pPr>
              <w:spacing w:after="0"/>
              <w:rPr>
                <w:sz w:val="22"/>
                <w:szCs w:val="22"/>
                <w:color w:val="auto"/>
              </w:rPr>
            </w:pPr>
          </w:p>
        </w:tc>
      </w:tr>
    </w:tbl>
    <w:p>
      <w:pPr>
        <w:spacing w:after="0" w:line="260"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The credit agency does not rate this category for American.</w:t>
      </w:r>
    </w:p>
    <w:p>
      <w:pPr>
        <w:spacing w:after="0" w:line="16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1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Aircraft and Engine Purchase Commitments</w:t>
      </w:r>
    </w:p>
    <w:p>
      <w:pPr>
        <w:spacing w:after="0" w:line="11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As of September 30, 2017, we had definitive purchase agreements with Airbus, Boeing and Embraer for the acquisition of the following mainline and regional aircraft: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Remainder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2022 and</w:t>
            </w:r>
          </w:p>
        </w:tc>
        <w:tc>
          <w:tcPr>
            <w:tcW w:w="102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0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Thereafter</w:t>
            </w:r>
          </w:p>
        </w:tc>
        <w:tc>
          <w:tcPr>
            <w:tcW w:w="1020" w:type="dxa"/>
            <w:vAlign w:val="bottom"/>
          </w:tcPr>
          <w:p>
            <w:pPr>
              <w:jc w:val="right"/>
              <w:ind w:right="231"/>
              <w:spacing w:after="0"/>
              <w:rPr>
                <w:sz w:val="20"/>
                <w:szCs w:val="20"/>
                <w:color w:val="auto"/>
              </w:rPr>
            </w:pPr>
            <w:r>
              <w:rPr>
                <w:rFonts w:ascii="Arial" w:cs="Arial" w:eastAsia="Arial" w:hAnsi="Arial"/>
                <w:sz w:val="16"/>
                <w:szCs w:val="16"/>
                <w:b w:val="1"/>
                <w:bCs w:val="1"/>
                <w:color w:val="auto"/>
              </w:rPr>
              <w:t>Total</w:t>
            </w:r>
          </w:p>
        </w:tc>
      </w:tr>
      <w:tr>
        <w:trPr>
          <w:trHeight w:val="189"/>
        </w:trPr>
        <w:tc>
          <w:tcPr>
            <w:tcW w:w="322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Airbus</w:t>
            </w: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6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63"/>
        </w:trPr>
        <w:tc>
          <w:tcPr>
            <w:tcW w:w="3220" w:type="dxa"/>
            <w:vAlign w:val="bottom"/>
            <w:gridSpan w:val="5"/>
          </w:tcPr>
          <w:p>
            <w:pPr>
              <w:ind w:left="40"/>
              <w:spacing w:after="0"/>
              <w:rPr>
                <w:sz w:val="20"/>
                <w:szCs w:val="20"/>
                <w:color w:val="auto"/>
              </w:rPr>
            </w:pPr>
            <w:r>
              <w:rPr>
                <w:rFonts w:ascii="Arial" w:cs="Arial" w:eastAsia="Arial" w:hAnsi="Arial"/>
                <w:sz w:val="18"/>
                <w:szCs w:val="18"/>
                <w:color w:val="auto"/>
              </w:rPr>
              <w:t>A320neo Family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7"/>
        </w:trPr>
        <w:tc>
          <w:tcPr>
            <w:tcW w:w="32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A350 XWB</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03"/>
        </w:trPr>
        <w:tc>
          <w:tcPr>
            <w:tcW w:w="32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Boeing</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737-800</w:t>
            </w:r>
          </w:p>
        </w:tc>
        <w:tc>
          <w:tcPr>
            <w:tcW w:w="24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63"/>
        </w:trPr>
        <w:tc>
          <w:tcPr>
            <w:tcW w:w="3220" w:type="dxa"/>
            <w:vAlign w:val="bottom"/>
            <w:gridSpan w:val="5"/>
          </w:tcPr>
          <w:p>
            <w:pPr>
              <w:ind w:left="40"/>
              <w:spacing w:after="0"/>
              <w:rPr>
                <w:sz w:val="20"/>
                <w:szCs w:val="20"/>
                <w:color w:val="auto"/>
              </w:rPr>
            </w:pPr>
            <w:r>
              <w:rPr>
                <w:rFonts w:ascii="Arial" w:cs="Arial" w:eastAsia="Arial" w:hAnsi="Arial"/>
                <w:sz w:val="18"/>
                <w:szCs w:val="18"/>
                <w:color w:val="auto"/>
              </w:rPr>
              <w:t>737 MAX Family</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77"/>
        </w:trPr>
        <w:tc>
          <w:tcPr>
            <w:tcW w:w="32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787 Family</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03"/>
        </w:trPr>
        <w:tc>
          <w:tcPr>
            <w:tcW w:w="32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Embraer</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2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ERJ175 </w:t>
            </w:r>
            <w:r>
              <w:rPr>
                <w:rFonts w:ascii="Arial" w:cs="Arial" w:eastAsia="Arial" w:hAnsi="Arial"/>
                <w:sz w:val="21"/>
                <w:szCs w:val="21"/>
                <w:color w:val="auto"/>
                <w:vertAlign w:val="superscript"/>
              </w:rPr>
              <w:t>(1)</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40" w:type="dxa"/>
            <w:vAlign w:val="bottom"/>
          </w:tcPr>
          <w:p>
            <w:pPr>
              <w:spacing w:after="0"/>
              <w:rPr>
                <w:sz w:val="20"/>
                <w:szCs w:val="20"/>
                <w:color w:val="auto"/>
              </w:rPr>
            </w:pPr>
          </w:p>
        </w:tc>
        <w:tc>
          <w:tcPr>
            <w:tcW w:w="318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379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00" w:hanging="330"/>
        <w:spacing w:after="0" w:line="225" w:lineRule="auto"/>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These aircraft may be operated by wholly-owned regional subsidiaries which would operate the aircraft under capacity purchase arrangements.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have agreements for 42 spare engines to be delivered in 2017 and beyond.</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As of September 30, 2017, we had financing commitments for all of the aircraft currently on order and scheduled to be delivered through April 2018. We do not have financing commitments for the following aircraft currently on order and scheduled to be delivered through the end of 2018: eleven Boeing 737 MAX Family aircraft and five Boeing 787 Family aircraft. In addition, we do not have financing commitments in place for substantially all aircraft currently on order and scheduled to be delivered in 2019 and beyond. See Part II, Item 1A. Risk Factors – </w:t>
      </w:r>
      <w:r>
        <w:rPr>
          <w:rFonts w:ascii="Arial" w:cs="Arial" w:eastAsia="Arial" w:hAnsi="Arial"/>
          <w:sz w:val="18"/>
          <w:szCs w:val="18"/>
          <w:i w:val="1"/>
          <w:iCs w:val="1"/>
          <w:color w:val="auto"/>
        </w:rPr>
        <w:t>“We 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need to obtain sufficient financing or other capital to operate successfully” </w:t>
      </w:r>
      <w:r>
        <w:rPr>
          <w:rFonts w:ascii="Arial" w:cs="Arial" w:eastAsia="Arial" w:hAnsi="Arial"/>
          <w:sz w:val="18"/>
          <w:szCs w:val="18"/>
          <w:color w:val="auto"/>
        </w:rPr>
        <w:t>for additional discussion.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2016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1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our future cash contractual obligations as of September 30, 2017 (in millions):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8"/>
          </w:tcPr>
          <w:p>
            <w:pPr>
              <w:ind w:left="36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98"/>
        </w:trPr>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gridSpan w:val="3"/>
          </w:tcPr>
          <w:p>
            <w:pPr>
              <w:ind w:left="60"/>
              <w:spacing w:after="0"/>
              <w:rPr>
                <w:sz w:val="20"/>
                <w:szCs w:val="20"/>
                <w:color w:val="auto"/>
              </w:rPr>
            </w:pPr>
            <w:r>
              <w:rPr>
                <w:rFonts w:ascii="Arial" w:cs="Arial" w:eastAsia="Arial" w:hAnsi="Arial"/>
                <w:sz w:val="16"/>
                <w:szCs w:val="16"/>
                <w:b w:val="1"/>
                <w:bCs w:val="1"/>
                <w:color w:val="auto"/>
              </w:rPr>
              <w:t>Remainder of</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2022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8"/>
        </w:trPr>
        <w:tc>
          <w:tcPr>
            <w:tcW w:w="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19"/>
                <w:szCs w:val="19"/>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Total</w:t>
            </w:r>
          </w:p>
        </w:tc>
      </w:tr>
      <w:tr>
        <w:trPr>
          <w:trHeight w:val="250"/>
        </w:trPr>
        <w:tc>
          <w:tcPr>
            <w:tcW w:w="38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American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21"/>
                <w:szCs w:val="21"/>
                <w:color w:val="auto"/>
                <w:vertAlign w:val="superscript"/>
              </w:rPr>
              <w:t>(1) (3)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12,247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23,142</w:t>
            </w:r>
          </w:p>
        </w:tc>
      </w:tr>
      <w:tr>
        <w:trPr>
          <w:trHeight w:val="270"/>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(2) (3)</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5,247</w:t>
            </w:r>
          </w:p>
        </w:tc>
      </w:tr>
      <w:tr>
        <w:trPr>
          <w:trHeight w:val="226"/>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Aircraft and engine purchase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3880" w:type="dxa"/>
            <w:vAlign w:val="bottom"/>
            <w:gridSpan w:val="3"/>
          </w:tcPr>
          <w:p>
            <w:pPr>
              <w:ind w:left="200"/>
              <w:spacing w:after="0" w:line="233" w:lineRule="exact"/>
              <w:rPr>
                <w:sz w:val="20"/>
                <w:szCs w:val="20"/>
                <w:color w:val="auto"/>
              </w:rPr>
            </w:pPr>
            <w:r>
              <w:rPr>
                <w:rFonts w:ascii="Arial" w:cs="Arial" w:eastAsia="Arial" w:hAnsi="Arial"/>
                <w:sz w:val="18"/>
                <w:szCs w:val="18"/>
                <w:color w:val="auto"/>
              </w:rPr>
              <w:t xml:space="preserve">commitments </w:t>
            </w:r>
            <w:r>
              <w:rPr>
                <w:rFonts w:ascii="Arial" w:cs="Arial" w:eastAsia="Arial" w:hAnsi="Arial"/>
                <w:sz w:val="21"/>
                <w:szCs w:val="21"/>
                <w:color w:val="auto"/>
                <w:vertAlign w:val="superscript"/>
              </w:rPr>
              <w:t>(4)</w:t>
            </w:r>
          </w:p>
        </w:tc>
        <w:tc>
          <w:tcPr>
            <w:tcW w:w="2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14,608</w:t>
            </w:r>
          </w:p>
        </w:tc>
      </w:tr>
      <w:tr>
        <w:trPr>
          <w:trHeight w:val="270"/>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11,952</w:t>
            </w:r>
          </w:p>
        </w:tc>
      </w:tr>
      <w:tr>
        <w:trPr>
          <w:trHeight w:val="270"/>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(6)</w:t>
            </w:r>
          </w:p>
        </w:tc>
        <w:tc>
          <w:tcPr>
            <w:tcW w:w="2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7,799</w:t>
            </w:r>
          </w:p>
        </w:tc>
      </w:tr>
      <w:tr>
        <w:trPr>
          <w:trHeight w:val="270"/>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(7)</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5,873</w:t>
            </w:r>
          </w:p>
        </w:tc>
      </w:tr>
      <w:tr>
        <w:trPr>
          <w:trHeight w:val="226"/>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Retiree medical and other postretirement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3880" w:type="dxa"/>
            <w:vAlign w:val="bottom"/>
            <w:tcBorders>
              <w:bottom w:val="single" w:sz="8" w:color="CCEEFF"/>
            </w:tcBorders>
            <w:gridSpan w:val="3"/>
          </w:tcPr>
          <w:p>
            <w:pPr>
              <w:ind w:left="200"/>
              <w:spacing w:after="0" w:line="233" w:lineRule="exact"/>
              <w:rPr>
                <w:sz w:val="20"/>
                <w:szCs w:val="20"/>
                <w:color w:val="auto"/>
              </w:rPr>
            </w:pPr>
            <w:r>
              <w:rPr>
                <w:rFonts w:ascii="Arial" w:cs="Arial" w:eastAsia="Arial" w:hAnsi="Arial"/>
                <w:sz w:val="18"/>
                <w:szCs w:val="18"/>
                <w:color w:val="auto"/>
              </w:rPr>
              <w:t xml:space="preserve">benefits and other obligations </w:t>
            </w:r>
            <w:r>
              <w:rPr>
                <w:rFonts w:ascii="Arial" w:cs="Arial" w:eastAsia="Arial" w:hAnsi="Arial"/>
                <w:sz w:val="21"/>
                <w:szCs w:val="21"/>
                <w:color w:val="auto"/>
                <w:vertAlign w:val="superscript"/>
              </w:rPr>
              <w:t>(8)</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5,572</w:t>
            </w:r>
          </w:p>
        </w:tc>
      </w:tr>
      <w:tr>
        <w:trPr>
          <w:trHeight w:val="250"/>
        </w:trPr>
        <w:tc>
          <w:tcPr>
            <w:tcW w:w="3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American Contractual Obligations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74,193</w:t>
            </w:r>
          </w:p>
        </w:tc>
      </w:tr>
      <w:tr>
        <w:trPr>
          <w:trHeight w:val="540"/>
        </w:trPr>
        <w:tc>
          <w:tcPr>
            <w:tcW w:w="3880" w:type="dxa"/>
            <w:vAlign w:val="bottom"/>
            <w:gridSpan w:val="3"/>
          </w:tcPr>
          <w:p>
            <w:pPr>
              <w:ind w:left="40"/>
              <w:spacing w:after="0"/>
              <w:rPr>
                <w:sz w:val="20"/>
                <w:szCs w:val="20"/>
                <w:color w:val="auto"/>
              </w:rPr>
            </w:pPr>
            <w:r>
              <w:rPr>
                <w:rFonts w:ascii="Arial" w:cs="Arial" w:eastAsia="Arial" w:hAnsi="Arial"/>
                <w:sz w:val="18"/>
                <w:szCs w:val="18"/>
                <w:i w:val="1"/>
                <w:iCs w:val="1"/>
                <w:color w:val="auto"/>
              </w:rPr>
              <w:t>AAG Parent and Other AAG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
        </w:trPr>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1,780</w:t>
            </w:r>
          </w:p>
        </w:tc>
      </w:tr>
      <w:tr>
        <w:trPr>
          <w:trHeight w:val="270"/>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209</w:t>
            </w:r>
          </w:p>
        </w:tc>
      </w:tr>
      <w:tr>
        <w:trPr>
          <w:trHeight w:val="270"/>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4"/>
        </w:trPr>
        <w:tc>
          <w:tcPr>
            <w:tcW w:w="3880" w:type="dxa"/>
            <w:vAlign w:val="bottom"/>
            <w:gridSpan w:val="3"/>
          </w:tcPr>
          <w:p>
            <w:pPr>
              <w:ind w:left="180"/>
              <w:spacing w:after="0"/>
              <w:rPr>
                <w:sz w:val="20"/>
                <w:szCs w:val="20"/>
                <w:color w:val="auto"/>
              </w:rPr>
            </w:pPr>
            <w:r>
              <w:rPr>
                <w:rFonts w:ascii="Arial" w:cs="Arial" w:eastAsia="Arial" w:hAnsi="Arial"/>
                <w:sz w:val="18"/>
                <w:szCs w:val="18"/>
                <w:color w:val="auto"/>
              </w:rPr>
              <w:t>Total AAG Contractual Obligations</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12,106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12,016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28,268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76,245</w:t>
            </w:r>
          </w:p>
        </w:tc>
      </w:tr>
      <w:tr>
        <w:trPr>
          <w:trHeight w:val="20"/>
        </w:trPr>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4"/>
        </w:trPr>
        <w:tc>
          <w:tcPr>
            <w:tcW w:w="500" w:type="dxa"/>
            <w:vAlign w:val="bottom"/>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96" w:lineRule="exact"/>
        <w:rPr>
          <w:sz w:val="20"/>
          <w:szCs w:val="20"/>
          <w:color w:val="auto"/>
        </w:rPr>
      </w:pPr>
    </w:p>
    <w:p>
      <w:pPr>
        <w:jc w:val="both"/>
        <w:ind w:left="500" w:hanging="330"/>
        <w:spacing w:after="0" w:line="233" w:lineRule="auto"/>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Amounts represent contractual amounts due. Excludes $230 million and $8 million of unamortized debt discount, premium and issuance costs as of September 30, 2017 for American and AAG Parent, respectively. For additional information, see Note 5 and Note 3 to AAG’s and American’s Condensed Consolidated Financial Statements in Part I, Items 1A and 1B.</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For variable-rate debt, future interest obligations are estimated using the current forward rates at September 30, 2017.</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$11.4 billion of future principal payments and $2.7 billion of future interest payments, respectively, as of September 30, 2017, related to EETC notes associated with mortgage financings for the purchase of certain aircraft.</w:t>
      </w:r>
    </w:p>
    <w:p>
      <w:pPr>
        <w:spacing w:after="0" w:line="145" w:lineRule="exact"/>
        <w:rPr>
          <w:rFonts w:ascii="Arial" w:cs="Arial" w:eastAsia="Arial" w:hAnsi="Arial"/>
          <w:sz w:val="22"/>
          <w:szCs w:val="22"/>
          <w:color w:val="auto"/>
          <w:vertAlign w:val="superscript"/>
        </w:rPr>
      </w:pPr>
    </w:p>
    <w:p>
      <w:pPr>
        <w:ind w:left="500" w:hanging="330"/>
        <w:spacing w:after="0" w:line="235" w:lineRule="auto"/>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additional information about these obligations.</w:t>
      </w:r>
    </w:p>
    <w:p>
      <w:pPr>
        <w:spacing w:after="0" w:line="161"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$1.2 billion of future minimum lease payments related to EETC leverage leased financings of certain aircraft as of September 30, 2017.</w:t>
      </w:r>
    </w:p>
    <w:p>
      <w:pPr>
        <w:spacing w:after="0" w:line="163"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minimum pension contributions based on actuarially determined estimates.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retiree medical and other postretirement benefit payments and other minimum purchase obligations.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1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light of our significant financial commitments related to, among other things, new aircraft,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4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and may authorize additional share repurchase programs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In the third quarter of 2017, there were no changes to our critical accounting policies and estimates from those disclosed in the Consolidated Financial Statements and accompanying notes contained in our 2016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The new revenue standard applies to all companies that enter into contracts with customers to transfer goods or services and is effective for public entities for interim and annual reporting periods beginning after December 15, 2017. We will adopt the new revenue standard effective January 1, 2018. Entities have the choice to apply the new revenue standard either retrospectively to each reporting period presented or by recognizing the cumulative effect of applying the new revenue standard at the date of initial application and not adjusting comparative information. We will adopt the new revenue standard using the full retrospective method.</w:t>
      </w:r>
    </w:p>
    <w:p>
      <w:pPr>
        <w:spacing w:after="0" w:line="15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in the process of finalizing how the application of the new revenue standard will impact our condensed consolidated financial statements. We currently expect that the new revenue standard will materially impact our liability for outstanding mileage credits earned by AAdvantage loyalty program members. We currently use the incremental cost method to account for this portion of our loyalty program liability, which values these mileage credits based on the estimated incremental cost of carrying one additional passenger. The new revenue standard will require us to change our policy and apply a relative selling price approach whereby a portion of each passenger ticket sale attributable to mileage credits earned will be deferred and recognized in passenger revenue upon future mileage redemption. The carrying value of the earned mileage credits recognized in loyalty program liability is expected to be materially greater under the relative selling price approach than the value attributed to these mileage credits under the incremental cost method. The new revenue standard will also require us to reclassify certain ancillary fees to passenger revenue, which are currently included within other operating revenue.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19" w:right="239" w:bottom="1440" w:gutter="0" w:footer="0" w:header="0"/>
        </w:sectPr>
      </w:pPr>
    </w:p>
    <w:bookmarkStart w:id="60" w:name="page61"/>
    <w:bookmarkEnd w:id="60"/>
    <w:p>
      <w:pPr>
        <w:jc w:val="both"/>
        <w:ind w:firstLine="243"/>
        <w:spacing w:after="0" w:line="252" w:lineRule="auto"/>
        <w:rPr>
          <w:sz w:val="20"/>
          <w:szCs w:val="20"/>
          <w:color w:val="auto"/>
        </w:rPr>
      </w:pPr>
      <w:r>
        <w:rPr>
          <w:rFonts w:ascii="Arial" w:cs="Arial" w:eastAsia="Arial" w:hAnsi="Arial"/>
          <w:sz w:val="18"/>
          <w:szCs w:val="18"/>
          <w:color w:val="auto"/>
        </w:rPr>
        <w:t>We currently estimate that upon adoption of the new revenue standard as of January 1, 2018, our liability for outstanding mileage credits will increase by approximately $5.5 billion, offset in part by a $2.0 billion increase in our deferred tax asset, resulting in a net $3.5 billion charge to retained earnings. Additionally, after applying the new revenue standard, our 2017 passenger revenue and pre-tax income is currently estimated to increase by approximately $300 million. Finally, approximately $2.5 billion annually of ancillary revenues presently included within other revenue will be reclassified to passenger revenue. This reclassification will have no impact on total operating revenues. The foregoing estimates are subject to change.</w:t>
      </w:r>
    </w:p>
    <w:p>
      <w:pPr>
        <w:spacing w:after="0" w:line="15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See Note 1 to AAG’s Condensed Consolidated Financial Statements in Part I, Item 1A and Note 1 to American’s Condensed Consolidated Financial Statements in Part I, Item 1B for further information on recent accounting pronouncements.</w:t>
      </w:r>
    </w:p>
    <w:p>
      <w:pPr>
        <w:spacing w:after="0" w:line="201" w:lineRule="exact"/>
        <w:rPr>
          <w:sz w:val="20"/>
          <w:szCs w:val="20"/>
          <w:color w:val="auto"/>
        </w:rPr>
      </w:pPr>
    </w:p>
    <w:p>
      <w:pPr>
        <w:ind w:right="4420"/>
        <w:spacing w:after="0" w:line="35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u w:val="single" w:color="auto"/>
          <w:color w:val="auto"/>
        </w:rPr>
        <w:t>AAG and American’s Market Risk Sensitive Instruments and Positions</w:t>
      </w:r>
    </w:p>
    <w:p>
      <w:pPr>
        <w:jc w:val="both"/>
        <w:ind w:firstLine="216"/>
        <w:spacing w:after="0" w:line="262"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2016 Form 10-K except as updated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September 30, 2017,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2017 forecasted mainline and regional fuel consumption is presently approximately 4.4 billion gallons, and based on this forecast, a one cent per gallon increase in aviation fuel price would result in a $44 million increase in annual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investments. If annual interest rates increase 100 basis points, based on our September 30, 2017 variable-rate debt and short-term investments balances, annual interest expense on variable-rate debt would increase by approximately $96 million and annual interest income on short-term investments would increase by approximately $59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September 30, 2017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September 30,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6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On December 9, 2013, AAG acquired US Airways Group and its subsidiaries. We are still in the process of integrating certain processes, technology and operations for the post-Merger combined company, and we will continue to evaluate the impact of any related changes to our internal control over financial reporting. For the quarter ended September 30, 2017, there has been no change in AAG’s or American’s internal control over financial reporting that has materially affected, or is reasonably likely to materially affect, AAG’s and American’s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September 30,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19"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September 30, 2017, there were approximately 24.5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3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we received a Civil Investigative Demand (CID) from the United States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Justice (DOJ)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October 28, 2016, the Court denied a motion by the airline defendants to dismiss all claims in the class actions. Both the DOJ investigation and these lawsuits are in their relatively early stages and we intend to defend these matters vigorously.</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May 12, 2017, defendants filed a motion for summary judgment. On June 23, 2017, plaintiffs filed an opposition to defendants’ motion and cross-motion for summary judgment. Briefing of the parties’ respective motions concluded on September 1, 2017; a hearing date has not yet been set. We believe this lawsuit is without merit and intend to vigorously defend against the allegations.</w:t>
      </w:r>
    </w:p>
    <w:p>
      <w:pPr>
        <w:spacing w:after="0" w:line="13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76" w:right="239" w:bottom="1440" w:gutter="0" w:footer="0" w:header="0"/>
        </w:sectPr>
      </w:pPr>
    </w:p>
    <w:bookmarkStart w:id="63" w:name="page64"/>
    <w:bookmarkEnd w:id="63"/>
    <w:p>
      <w:pPr>
        <w:jc w:val="both"/>
        <w:ind w:firstLine="432"/>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otherwise, which could affect our financial position and liquidity</w:t>
      </w:r>
      <w:r>
        <w:rPr>
          <w:rFonts w:ascii="Arial" w:cs="Arial" w:eastAsia="Arial" w:hAnsi="Arial"/>
          <w:sz w:val="18"/>
          <w:szCs w:val="18"/>
          <w:color w:val="auto"/>
        </w:rPr>
        <w:t>” for additional discussion.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 and Industry-Related Risks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revenues.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below.</w:t>
      </w:r>
    </w:p>
    <w:p>
      <w:pPr>
        <w:spacing w:after="0" w:line="211"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5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sufficiently to offset fuel price increases. Similarly, we cannot predict the effect or the actions of our competitors if the current low fuel prices remain in place for a significant period of time or fuel prices decrease in the future.</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Our current policy is not to enter into transactions to hedge our fuel consumption, although we review that policy from time to time based on market conditions and other factors. Accordingly, as of September 30, 2017, we did not have any fuel hedging contracts outstanding. As such, and assuming we do not enter into any future transactions to hedge our fuel consumption, we will continue to be fully exposed to fluctuations in fuel prices.</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If in the future we enter into derivative contracts to hedge our fuel consumption, 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42" w:right="239" w:bottom="1440" w:gutter="0" w:footer="0" w:header="0"/>
        </w:sectPr>
      </w:pPr>
    </w:p>
    <w:bookmarkStart w:id="64" w:name="page65"/>
    <w:bookmarkEnd w:id="64"/>
    <w:p>
      <w:pPr>
        <w:jc w:val="both"/>
        <w:spacing w:after="0" w:line="256" w:lineRule="auto"/>
        <w:rPr>
          <w:sz w:val="20"/>
          <w:szCs w:val="20"/>
          <w:color w:val="auto"/>
        </w:rPr>
      </w:pPr>
      <w:r>
        <w:rPr>
          <w:rFonts w:ascii="Arial" w:cs="Arial" w:eastAsia="Arial" w:hAnsi="Arial"/>
          <w:sz w:val="18"/>
          <w:szCs w:val="18"/>
          <w:color w:val="auto"/>
        </w:rPr>
        <w:t xml:space="preserve">have fuel hedging contracts in place could materially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amenities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A number of low-cost carriers have announced growth strategies including commitments to acquire significant numbers of aircraft for delivery in the next few years. These low-cost carriers are attempting to continue to increase their market share through growth and, potentially, consolidation, and could continue to have an impact on our revenues and overall performance. For example, as a result of divestitures completed in connection with gaining regulatory approval for the Merger, low-fare, low-cost carriers have gained additional access in a number of markets, including Ronald Reagan Washington National Airport (DCA), a slot-controlled airport. In addition, we and several other large network carriers have announced “basic economy” fares designed to compete against low-cost carriers and we cannot predict whether these initiatives will be successful or the competitive reaction of the low-cost carriers. The actions of the low-cost carriers, including those described above, could have a material adverse effect on our operations and financial performance.</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Our presence in international markets is not as extensive as that of some of our competitors. In providing international air transportation, we compete to provide scheduled passenger and cargo service between the U.S. and various overseas locations with U.S. airlines, foreign investor-owned airlines and foreign state-owned or state-affiliated airlines, including carriers based in the Middle East, the three largest of which we believe benefit from significant government subsidies. Our international service exposes us to foreign economies and the potential for reduced demand, such as we have recently experienced in Brazil and Venezuela, when any foreign countries we serve suffer adverse local economic conditions. In addition, open skies agreements with an increasing number of countries around the world provide international airlines with open access to U.S. markets. See also </w:t>
      </w:r>
      <w:r>
        <w:rPr>
          <w:rFonts w:ascii="Arial" w:cs="Arial" w:eastAsia="Arial" w:hAnsi="Arial"/>
          <w:sz w:val="18"/>
          <w:szCs w:val="18"/>
          <w:i w:val="1"/>
          <w:iCs w:val="1"/>
          <w:color w:val="auto"/>
        </w:rPr>
        <w:t>“Our business is subject to extensive government regulation, which may result in increases in our</w:t>
      </w:r>
      <w:r>
        <w:rPr>
          <w:rFonts w:ascii="Arial" w:cs="Arial" w:eastAsia="Arial" w:hAnsi="Arial"/>
          <w:sz w:val="18"/>
          <w:szCs w:val="18"/>
          <w:color w:val="auto"/>
        </w:rPr>
        <w:t xml:space="preserve"> </w:t>
      </w:r>
      <w:r>
        <w:rPr>
          <w:rFonts w:ascii="Arial" w:cs="Arial" w:eastAsia="Arial" w:hAnsi="Arial"/>
          <w:sz w:val="18"/>
          <w:szCs w:val="18"/>
          <w:i w:val="1"/>
          <w:iCs w:val="1"/>
          <w:color w:val="auto"/>
        </w:rPr>
        <w:t>costs, disruptions to our operations, limits on our operating flexibility, reductions in the demand for air travel, and competitive disadvantages.”</w:t>
      </w:r>
    </w:p>
    <w:p>
      <w:pPr>
        <w:spacing w:after="0" w:line="15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party to antitrust-immunized cooperation agreements with British Airways, Iberia, Finnair, Royal Jordanian, Japan Airlines, LAN Airlines and LAN Peru. As part of the antitrust-immunized relationships, we have also established joint business agreements (JBAs) with British Airways, Iberia and Finnair, and separately with Japan Airlines. In October 2017, American Airlines and its transatlantic partners executed an amended and restated JBA which, among other things, extends the term of the agreement. Also, we had previously signed a revised JBA with Qantas Airways and applied for antitrust immunity with the U.S. Department of Transportation (DOT) for the revised relationship, but we withdrew that application in November 2016 after it was tentatively denied by the DOT. We intend to file a new application for antitrust immunity with the DOT this year, which, if granted, would allow us to expand that relationship further. In addition, we have signed JBAs with certain air carriers of the LATAM Airlines Group and have applied for approval in the relevant jurisdictions affected by such agreements, which applications have been approved in Brazil, Colombia and Uruguay, but are still pending before other relevant authorities, including the DOT and in Chile. The foregoing arrangements are important aspects of our international network and we are dependent on the performance of the other airlines party to those agreements. No assurances can be given as to any benefits that we may derive from such arrangements or any other arrangements that may ultimately be implemented.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60" w:right="239" w:bottom="1440" w:gutter="0" w:footer="0" w:header="0"/>
        </w:sectPr>
      </w:pPr>
    </w:p>
    <w:bookmarkStart w:id="65" w:name="page66"/>
    <w:bookmarkEnd w:id="65"/>
    <w:p>
      <w:pPr>
        <w:jc w:val="both"/>
        <w:ind w:firstLine="216"/>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214"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Ongoing data security requirements and obligations could increase our costs, and any significant data security incident could disrupt our operations and harm our reputation, business,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business requires the appropriate and secure utilization of customer, employee, business partner and other sensitive information, and confidence in the networks and systems that allow us to operate. We cannot be certain that we will not be the target of attacks on our networks and intrusions into our data, particularly given recent advances in technical capabilities, and increased financial and political motivations to carry out cyber-attacks on physical systems, gain unauthorized access to information, and make information unavailable for use through, for example, ransomware or denial-of-service attacks, and otherwise exploit new and existing vulnerabilities in our infrastructure. The risk of a data security incident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in response to these threats there has been heightened legislative and regulatory focus on attacks on critical infrastructures, including those in the transportation sector, and on data security in the U.S. and abroad (particularly in the European Union (EU)), including requirements for varying levels of data subject notification in the event of a data security incident.</w:t>
      </w:r>
    </w:p>
    <w:p>
      <w:pPr>
        <w:spacing w:after="0" w:line="15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 significant data security incident or our failure to comply with applicable U.S. or foreign data security regulations or other data security standards may impact our brand and expose us to litigation and regulatory enforcement actions, resulting in fines, sanctions or other penalties. Such actions could further harm our reputation, adversely impact our relationship with our customers, employees, and stockholders, result in material financial impact, and disrupt business operations. Failure to appropriately address these issues could also give rise to similar legal risks and damages.</w:t>
      </w:r>
    </w:p>
    <w:p>
      <w:pPr>
        <w:spacing w:after="0" w:line="211" w:lineRule="exact"/>
        <w:rPr>
          <w:sz w:val="20"/>
          <w:szCs w:val="20"/>
          <w:color w:val="auto"/>
        </w:rPr>
      </w:pPr>
    </w:p>
    <w:p>
      <w:pPr>
        <w:jc w:val="both"/>
        <w:ind w:right="20" w:firstLine="216"/>
        <w:spacing w:after="0" w:line="269"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177" w:lineRule="exact"/>
        <w:rPr>
          <w:sz w:val="20"/>
          <w:szCs w:val="20"/>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71" w:lineRule="exact"/>
        <w:rPr>
          <w:rFonts w:ascii="Arial" w:cs="Arial" w:eastAsia="Arial" w:hAnsi="Arial"/>
          <w:sz w:val="18"/>
          <w:szCs w:val="18"/>
          <w:color w:val="auto"/>
        </w:rPr>
      </w:pPr>
    </w:p>
    <w:p>
      <w:pPr>
        <w:ind w:left="640" w:right="20" w:hanging="321"/>
        <w:spacing w:after="0" w:line="26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142" w:lineRule="exact"/>
        <w:rPr>
          <w:rFonts w:ascii="Arial" w:cs="Arial" w:eastAsia="Arial" w:hAnsi="Arial"/>
          <w:sz w:val="18"/>
          <w:szCs w:val="18"/>
          <w:color w:val="auto"/>
        </w:rPr>
      </w:pPr>
    </w:p>
    <w:p>
      <w:pPr>
        <w:ind w:left="640" w:hanging="321"/>
        <w:spacing w:after="0" w:line="26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42" w:lineRule="exact"/>
        <w:rPr>
          <w:rFonts w:ascii="Arial" w:cs="Arial" w:eastAsia="Arial" w:hAnsi="Arial"/>
          <w:sz w:val="18"/>
          <w:szCs w:val="18"/>
          <w:color w:val="auto"/>
        </w:rPr>
      </w:pPr>
    </w:p>
    <w:p>
      <w:pPr>
        <w:ind w:left="640" w:right="20" w:hanging="321"/>
        <w:spacing w:after="0" w:line="26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42" w:lineRule="exact"/>
        <w:rPr>
          <w:rFonts w:ascii="Arial" w:cs="Arial" w:eastAsia="Arial" w:hAnsi="Arial"/>
          <w:sz w:val="18"/>
          <w:szCs w:val="18"/>
          <w:color w:val="auto"/>
        </w:rPr>
      </w:pPr>
    </w:p>
    <w:p>
      <w:pPr>
        <w:ind w:left="640" w:hanging="321"/>
        <w:spacing w:after="0" w:line="26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60" w:right="239" w:bottom="1440" w:gutter="0" w:footer="0" w:header="0"/>
        </w:sectPr>
      </w:pPr>
    </w:p>
    <w:bookmarkStart w:id="66" w:name="page67"/>
    <w:bookmarkEnd w:id="66"/>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171" w:lineRule="exact"/>
        <w:rPr>
          <w:rFonts w:ascii="Arial" w:cs="Arial" w:eastAsia="Arial" w:hAnsi="Arial"/>
          <w:sz w:val="18"/>
          <w:szCs w:val="18"/>
          <w:color w:val="auto"/>
        </w:rPr>
      </w:pPr>
    </w:p>
    <w:p>
      <w:pPr>
        <w:ind w:left="640" w:hanging="321"/>
        <w:spacing w:after="0" w:line="262"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142" w:lineRule="exact"/>
        <w:rPr>
          <w:rFonts w:ascii="Arial" w:cs="Arial" w:eastAsia="Arial" w:hAnsi="Arial"/>
          <w:sz w:val="18"/>
          <w:szCs w:val="18"/>
          <w:color w:val="auto"/>
        </w:rPr>
      </w:pPr>
    </w:p>
    <w:p>
      <w:pPr>
        <w:jc w:val="both"/>
        <w:ind w:left="640" w:hanging="321"/>
        <w:spacing w:after="0" w:line="256"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47" w:lineRule="exact"/>
        <w:rPr>
          <w:rFonts w:ascii="Arial" w:cs="Arial" w:eastAsia="Arial" w:hAnsi="Arial"/>
          <w:sz w:val="18"/>
          <w:szCs w:val="18"/>
          <w:color w:val="auto"/>
        </w:rPr>
      </w:pPr>
    </w:p>
    <w:p>
      <w:pPr>
        <w:ind w:left="640" w:hanging="321"/>
        <w:spacing w:after="0" w:line="262"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142"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Further, a substantial portion of our indebtedness bears interest at fluctuating interest rates, primarily based on the London interbank offered rate for deposits of U.S. dollars (LIBOR). LIBOR tends to fluctuate based on general interest rates, rates set by the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 Item 3. Quantitative and Qualitative Disclosures About Market Risk –</w:t>
      </w:r>
      <w:r>
        <w:rPr>
          <w:rFonts w:ascii="Arial" w:cs="Arial" w:eastAsia="Arial" w:hAnsi="Arial"/>
          <w:sz w:val="18"/>
          <w:szCs w:val="18"/>
          <w:i w:val="1"/>
          <w:iCs w:val="1"/>
          <w:color w:val="auto"/>
        </w:rPr>
        <w:t>“Interest.”</w:t>
      </w:r>
    </w:p>
    <w:p>
      <w:pPr>
        <w:spacing w:after="0" w:line="15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business plan contemplates significant investments in modernizing our fleet. Significant capital resources will be required to execute this plan. We estimate that, based on our commitments as of September 30, 2017, our planned aggregate expenditures for aircraft purchase commitments and certain engines on a consolidated basis for calendar years 2017-2021 would be approximately $10.9 billion. Accordingly, we will need substantial financing or other capital resources to finance such aircraft.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7"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favorable temporary funding rules that are scheduled to expire at the end of 2017. Our minimum pension funding obligations are likely to increase materially beginning in 2019, when we will be required to make contributions relating to the 2018 fiscal year. In addition, we may have significant obligations for other postretirement benefits, the ultimate amount of which depends on, among other things, the outcome of an adversary proceeding related to retiree medical and other postretirement benefits and life insurance obligations filed in the Chapter 11 Cases.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60" w:right="239" w:bottom="1440" w:gutter="0" w:footer="0" w:header="0"/>
        </w:sectPr>
      </w:pPr>
    </w:p>
    <w:bookmarkStart w:id="67" w:name="page68"/>
    <w:bookmarkEnd w:id="67"/>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We are not currently required to maintain any holdbacks pursuant 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112" w:lineRule="exact"/>
        <w:rPr>
          <w:sz w:val="20"/>
          <w:szCs w:val="20"/>
          <w:color w:val="auto"/>
        </w:rPr>
      </w:pPr>
    </w:p>
    <w:p>
      <w:pPr>
        <w:jc w:val="both"/>
        <w:ind w:right="20" w:firstLine="216"/>
        <w:spacing w:after="0" w:line="253"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2016 Form 10-K.</w:t>
      </w:r>
    </w:p>
    <w:p>
      <w:pPr>
        <w:spacing w:after="0" w:line="15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5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2016 Form 10-K.</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Currently, we believe our labor costs are competitive relative to the other large network carriers. However, we cannot provide assurance that labor costs going forward will remain competitive because we are in negotiations for some new agreements now and other agreements may become amendable, competitors may significantly reduce their labor costs or we may agree to higher-cost provisions in our current or future labor negotiations, such as the employee profit sharing program we instituted effective January 1, 2016 and the mid-contract adjustment we provided to our flight attendants and pilots in 2017. As of December 31, 2016, approximately 85%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disruptions at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19" w:right="239" w:bottom="1440" w:gutter="0" w:footer="0" w:header="0"/>
        </w:sectPr>
      </w:pPr>
    </w:p>
    <w:bookmarkStart w:id="68" w:name="page69"/>
    <w:bookmarkEnd w:id="68"/>
    <w:p>
      <w:pPr>
        <w:jc w:val="both"/>
        <w:spacing w:after="0" w:line="256" w:lineRule="auto"/>
        <w:rPr>
          <w:sz w:val="20"/>
          <w:szCs w:val="20"/>
          <w:color w:val="auto"/>
        </w:rPr>
      </w:pPr>
      <w:r>
        <w:rPr>
          <w:rFonts w:ascii="Arial" w:cs="Arial" w:eastAsia="Arial" w:hAnsi="Arial"/>
          <w:sz w:val="18"/>
          <w:szCs w:val="18"/>
          <w:color w:val="auto"/>
        </w:rPr>
        <w:t>airport facilities or other key facilities used by us to manage our operations,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207"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office space. As airports around the world become more congested, we are not always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Federal Aviation Administration (FAA) currently regulates the allocation of slots or slot exemptions at DCA and two New York City airports: John F. Kennedy International Airport and La Guardia Airport (LGA). In addition to slot restrictions, operations at LGA and DCA are also limited based on the stage length of the flight. Our operations at these airports generally require the allocation of slots or similar regulatory authority. Similarly, our operations at international airports in Beijing, Frankfurt, London Heathrow, Paris, Tokyo and other airports outside the U.S. are regulated by local slot authorities pursuant to the International Airline Trade Association (IATA) Worldwide Scheduling Guidelines and applicable local law.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We cannot provide any assurance that regulatory changes regarding the allocation of slots or similar regulatory authority will not have a material adverse impact on our operations.</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ability to provide service can also be impaired at airports, such as Chicago O’Hare International Airport (ORD) and Los Angeles International Airport, where the airport gate and other facilities are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Volatility in fuel prices, disruptions to capital markets and adverse economic conditions in general have subjected certain of these third-party regional operators to significant financial pressures, which have in the past and may in the future lead to bankruptcies among these operators. For example, one of our significant third-party operators of regional capacity, Republic, commenced a Chapter 11 bankruptcy in 2016. In connection with Republic’s bankruptcy process, we restructured our contractual relationship with Republic and received an approximate 25% equity interest in Republic in consideration for our unsecured claim in the case. We may also experience disruption to our regional operations if we terminate the capacity purchase agreement with one or more of our current operators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79" w:right="239" w:bottom="1440" w:gutter="0" w:footer="0" w:header="0"/>
        </w:sectPr>
      </w:pPr>
    </w:p>
    <w:bookmarkStart w:id="69" w:name="page70"/>
    <w:bookmarkEnd w:id="69"/>
    <w:p>
      <w:pPr>
        <w:jc w:val="both"/>
        <w:spacing w:after="0" w:line="262" w:lineRule="auto"/>
        <w:rPr>
          <w:sz w:val="20"/>
          <w:szCs w:val="20"/>
          <w:color w:val="auto"/>
        </w:rPr>
      </w:pPr>
      <w:r>
        <w:rPr>
          <w:rFonts w:ascii="Arial" w:cs="Arial" w:eastAsia="Arial" w:hAnsi="Arial"/>
          <w:sz w:val="18"/>
          <w:szCs w:val="18"/>
          <w:color w:val="auto"/>
        </w:rPr>
        <w:t>transition the services to another provider. Any significant disruption to our regional operations would have a material adverse effect on our business, results of operations and financial condition.</w:t>
      </w:r>
    </w:p>
    <w:p>
      <w:pPr>
        <w:spacing w:after="0" w:line="14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 continue, and require us to make significant investments in potential new distribution technologies.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6"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Transportation Security Administration and the Department of Homeland Security have issued a number of directives and other regulations, that affect the airline industry. These requirements impose substantial costs on us and restrict the ways we may conduct our business.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Additionally, the FAA is presently considering regulations that would impose a cap on ticket change fees charged by airlines. Our failure to comply with such requirements has in the past and may in the future result in fines and other enforcement actions by the FAA or other regulators. In the future, new regulatory requirements could have a material adverse effect on us and the industry.</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disclosures concerning airline fares and ancillary fees such as baggage fees. The DOT has been aggressively investigating alleged violations of these rules. Other DOT rules apply to post-ticket purchase price increases and an expansion of tarmac delay regulations to international airlines.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79" w:right="239" w:bottom="1440" w:gutter="0" w:footer="0" w:header="0"/>
        </w:sectPr>
      </w:pPr>
    </w:p>
    <w:bookmarkStart w:id="70" w:name="page71"/>
    <w:bookmarkEnd w:id="70"/>
    <w:p>
      <w:pPr>
        <w:ind w:right="20" w:firstLine="432"/>
        <w:spacing w:after="0" w:line="262"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69" w:lineRule="exact"/>
        <w:rPr>
          <w:sz w:val="20"/>
          <w:szCs w:val="20"/>
          <w:color w:val="auto"/>
        </w:rPr>
      </w:pPr>
    </w:p>
    <w:p>
      <w:pPr>
        <w:ind w:left="640" w:right="20" w:hanging="321"/>
        <w:spacing w:after="0" w:line="262"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142" w:lineRule="exact"/>
        <w:rPr>
          <w:rFonts w:ascii="Arial" w:cs="Arial" w:eastAsia="Arial" w:hAnsi="Arial"/>
          <w:sz w:val="18"/>
          <w:szCs w:val="18"/>
          <w:color w:val="auto"/>
        </w:rPr>
      </w:pPr>
    </w:p>
    <w:p>
      <w:pPr>
        <w:ind w:left="640" w:hanging="321"/>
        <w:spacing w:after="0" w:line="262"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142" w:lineRule="exact"/>
        <w:rPr>
          <w:rFonts w:ascii="Arial" w:cs="Arial" w:eastAsia="Arial" w:hAnsi="Arial"/>
          <w:sz w:val="18"/>
          <w:szCs w:val="18"/>
          <w:color w:val="auto"/>
        </w:rPr>
      </w:pPr>
    </w:p>
    <w:p>
      <w:pPr>
        <w:ind w:left="640" w:hanging="321"/>
        <w:spacing w:after="0" w:line="262"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2" w:lineRule="exact"/>
        <w:rPr>
          <w:rFonts w:ascii="Arial" w:cs="Arial" w:eastAsia="Arial" w:hAnsi="Arial"/>
          <w:sz w:val="18"/>
          <w:szCs w:val="18"/>
          <w:color w:val="auto"/>
        </w:rPr>
      </w:pPr>
    </w:p>
    <w:p>
      <w:pPr>
        <w:ind w:left="640" w:right="20" w:hanging="321"/>
        <w:spacing w:after="0" w:line="262"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 (for example, a “passenger bill of rights”);</w:t>
      </w:r>
    </w:p>
    <w:p>
      <w:pPr>
        <w:spacing w:after="0" w:line="142" w:lineRule="exact"/>
        <w:rPr>
          <w:rFonts w:ascii="Arial" w:cs="Arial" w:eastAsia="Arial" w:hAnsi="Arial"/>
          <w:sz w:val="18"/>
          <w:szCs w:val="18"/>
          <w:color w:val="auto"/>
        </w:rPr>
      </w:pPr>
    </w:p>
    <w:p>
      <w:pPr>
        <w:ind w:left="640" w:hanging="321"/>
        <w:spacing w:after="0" w:line="262"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142" w:lineRule="exact"/>
        <w:rPr>
          <w:rFonts w:ascii="Arial" w:cs="Arial" w:eastAsia="Arial" w:hAnsi="Arial"/>
          <w:sz w:val="18"/>
          <w:szCs w:val="18"/>
          <w:color w:val="auto"/>
        </w:rPr>
      </w:pPr>
    </w:p>
    <w:p>
      <w:pPr>
        <w:ind w:left="640" w:hanging="321"/>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managing the growing demand for U.S. air travel. Air traffic controllers rely on outdated procedures and technologies that are routinely overwhelmed and compel airlines to fly inefficient routes or take significant delays on the ground. The ATC system’s inability to handle existing travel demand has led government agencies to implement short-term capacity constraints during peak travel periods or adverse weather conditions in certain markets, resulting in delays and disruptions of air traffic. The outdated technologies also cause the ATC to be less resilient in the event of a failure. For example, in 2014 the ATC systems in Chicago took weeks to recover following a fire in the ATC tower at ORD, which resulted in thousands of cancelled flights.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FAA has embarked on transforming the national airspace system, to include migration from the current radar-based air traffic control system to a GPS-based system. This ATC modernization, generally referred to as “NextGen,” has been plagued by delays and cost overruns, and it remains uncertain when the full array of benefits expected from ATC modernization will be available to the public and the airlines. Failure to update the ATC system in a timely manner and the substantial funding requirements that may be imposed on airlines of a modernized ATC system may have a material adverse effect on our business. We support legislative efforts that would establish a nimble not-for-profit entity better suited to manage the long-term investments in technology and provide a governance structure needed to successfully implement NextGen and improve the operation of the air traffic control system.</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Bilateral and multilateral agreements among the U.S. and various foreign governments of countries we serve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 Heathrow Airport (LHR). As a result of the agreement, we face increased competition in these markets, including LHR. The pending withdrawal of the United Kingdom from the EU will mandate further modification in the current regulatory regime.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60" w:right="239" w:bottom="1440" w:gutter="0" w:footer="0" w:header="0"/>
        </w:sectPr>
      </w:pPr>
    </w:p>
    <w:bookmarkStart w:id="71" w:name="page72"/>
    <w:bookmarkEnd w:id="71"/>
    <w:p>
      <w:pPr>
        <w:jc w:val="both"/>
        <w:spacing w:after="0" w:line="256" w:lineRule="auto"/>
        <w:rPr>
          <w:sz w:val="20"/>
          <w:szCs w:val="20"/>
          <w:color w:val="auto"/>
        </w:rPr>
      </w:pPr>
      <w:r>
        <w:rPr>
          <w:rFonts w:ascii="Arial" w:cs="Arial" w:eastAsia="Arial" w:hAnsi="Arial"/>
          <w:sz w:val="18"/>
          <w:szCs w:val="18"/>
          <w:color w:val="auto"/>
        </w:rPr>
        <w:t>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operating expenses, they represent an additional cost to our customers. There are continuing efforts in Congress and in other countries to raise different portions of the various taxes, fees, and charges imposed on airlines and their passengers, and we may not be able to recover all of these charges from our customers. Increases in such taxes, fees and charges could negatively impact our business, results of operations and financial condition.</w:t>
      </w:r>
    </w:p>
    <w:p>
      <w:pPr>
        <w:spacing w:after="0" w:line="15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Potential tax reform in the U.S. may result in significant changes to U.S. federal income taxation law, including changes to the U.S. federal income taxation of corporations (including us), which could, among other things, result in a lower corporate tax rate, the elimination of certain tax deductions and preferences, and impacts to the international tax environment. We are currently unable to predict whether such changes will occur and, if so, the impact such changes would have on us and our subsidiaries.</w:t>
      </w:r>
    </w:p>
    <w:p>
      <w:pPr>
        <w:spacing w:after="0" w:line="20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have recently instituted, and intend to institute in the future, changes to our business model to increase revenues and offset costs. These measures include premium economy service, basic economy service and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0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60" w:right="239" w:bottom="1440" w:gutter="0" w:footer="0" w:header="0"/>
        </w:sectPr>
      </w:pPr>
    </w:p>
    <w:bookmarkStart w:id="72" w:name="page73"/>
    <w:bookmarkEnd w:id="72"/>
    <w:p>
      <w:pPr>
        <w:jc w:val="both"/>
        <w:spacing w:after="0" w:line="251" w:lineRule="auto"/>
        <w:rPr>
          <w:sz w:val="20"/>
          <w:szCs w:val="20"/>
          <w:color w:val="auto"/>
        </w:rPr>
      </w:pPr>
      <w:r>
        <w:rPr>
          <w:rFonts w:ascii="Arial" w:cs="Arial" w:eastAsia="Arial" w:hAnsi="Arial"/>
          <w:sz w:val="18"/>
          <w:szCs w:val="18"/>
          <w:color w:val="auto"/>
        </w:rPr>
        <w:t>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16"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operate a global business with operations outside of the U.S. Our current international activities and prospects have been and in the future could be adversely affected by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5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United Kingdom held a referendum in June 2016 regarding its membership in the EU in which a majority of the United Kingdom electorate voted in favor of the British government taking the necessary action for the United Kingdom to leave the EU. In March 2017, the United Kingdom served notice of its decision to withdraw to the EU, formally initiating the withdrawal process. Serving this notice began the two-year period for the United Kingdom to negotiate the terms for its withdrawal from the EU. At this time, it is not certain what steps will need to be taken to facilitate the United Kingdom’s exit from the EU. The implications of the United Kingdom withdrawing from the EU are similarly unclear at present because it is unclear what relationship the United Kingdom will have with the EU after withdrawal. We face risks associated with the uncertainty following the referendum and the consequences that may flow from the decision to exit the EU, notably given the extent of our passenger and cargo traffic that flows between the U.S. and the EU via LHR in the United Kingdom. Among other things, the exit of the United Kingdom from the EU could adversely affect European or worldwide economic or market conditions and could contribute to further instability in global financial markets. In addition, the exit of the United Kingdom from the EU has created uncertainty as to the future trade relationship between the EU and the United Kingdom, including as to air traffic services. The exit of the United Kingdom could also lead to legal and regulatory uncertainty and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cannot be predicted. Any of these effects, and others we cannot anticipate, could materially adversely affect our business, results of operations and financial condition.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79"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with environmental laws and regulations can require significant expenditures, and violations can lead to significant fines and penalties.</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5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There is increasing global regulatory focus on climate change and greenhouse gas (GHG) emissions. For example, in October 2016, International Civil Aviation Organization (ICAO) passed a resolution adopting the ICAO Carbon Offsetting and Reduction Scheme for International Aviation (CORSIA), which is a global, market-based emissions offset program to encourage carbon-neutral growth beyond 2020. The CORSIA was supported by the board of Airlines For America (the principal U.S. airline trade association) and IATA (the principal international airline trade association), and by American and many other U.S. and foreign airlines. The CORSIA will increase operating costs for American and most other airlines, including other U.S. airlines that operate internationally, but the implementation of a global program, as compared to regional emission reduction schemes, should help to ensure that these costs will be more predictable and more evenly applied to American and its competitors. The CORSIA is expected to be implemented in phases, beginning in 2021. Certain details still need to be developed and the impact of the CORSIA cannot be fully predicted. While we do not anticipate any significant emissions allowance expenditures in 2017, compliance with the CORSIA or similar emissions-related requirements could significantly increase our operating costs beyond 2017. Further, the potential impact of the CORSIA or other emissions-related requirements on our costs will ultimately depend on a number of factors, including baseline emissions, the price of emission allowances or offsets and the number of future flights subject to such emissions-related requirements. These costs have not been completely defined and could fluctuate.</w:t>
      </w:r>
    </w:p>
    <w:p>
      <w:pPr>
        <w:spacing w:after="0" w:line="15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over 190 countries, including the United States, reached an agreement (the Paris Agreement) to reduce global greenhouse gas emissions. While the United States has since announced that it will withdraw from the Paris Agreement and there is no express reference to aviation in that agreement, to the extent countries implement that agreement or impose other climate change regulations, either with respect to the aviation industry or with respect to related industries such as the aviation fuel industry, it could have an adverse direct or indirect effect on our business.</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Environmental Protection Agency (EPA) recently issued an endangerment finding that aircraft engine GHG emissions cause or contribute to air pollution that may reasonably be anticipated to endanger public health or welfare, which is a precursor to EPA regulation of aircraft engine GHG emission standards. It is anticipated that any such standards established by the EPA would closely align with emission standards currently being developed by ICAO. In February 2016, the ICAO Committee on Aviation Environmental Protection recommended that ICAO adopt carbon dioxide certification standards that would apply to new type aircraft certified beginning in 2020, and would be phased in for newly manufactured existing aircraft type designs starting in 2023.</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addition, several states have adopted or are considering initiatives to regulate emissions of GHGs, primarily through the planned development of GHG emissions inventories and/or regional GHG cap and trade programs. Depending on the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79" w:right="239" w:bottom="1440" w:gutter="0" w:footer="0" w:header="0"/>
        </w:sectPr>
      </w:pPr>
    </w:p>
    <w:bookmarkStart w:id="74" w:name="page75"/>
    <w:bookmarkEnd w:id="74"/>
    <w:p>
      <w:pPr>
        <w:jc w:val="both"/>
        <w:spacing w:after="0" w:line="262" w:lineRule="auto"/>
        <w:rPr>
          <w:sz w:val="20"/>
          <w:szCs w:val="20"/>
          <w:color w:val="auto"/>
        </w:rPr>
      </w:pPr>
      <w:r>
        <w:rPr>
          <w:rFonts w:ascii="Arial" w:cs="Arial" w:eastAsia="Arial" w:hAnsi="Arial"/>
          <w:sz w:val="18"/>
          <w:szCs w:val="18"/>
          <w:color w:val="auto"/>
        </w:rPr>
        <w:t>scope of such regulation, certain of our facilities and operations, or the operations of our suppliers, may be subject to additional operating and other permit requirements, likely resulting in increased operating costs.</w:t>
      </w:r>
    </w:p>
    <w:p>
      <w:pPr>
        <w:spacing w:after="0" w:line="14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21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Among the principal risks of integrating our businesses and operations are the risks relating to integrating various computer, communications and other technology systems that will be necessary to operate US Airways and American as a single airline and to achieve cost synergies by eliminating redundancies in the businesses. While we have to date successfully integrated several of our systems, including our customer reservations system and our pilot and fleet scheduling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5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cannot assure you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accident involving our personnel or aircraft or the personnel or aircraft of our regional or codeshare operators.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or catastrophe, we could be exposed to significant reputational harm and potential legal liability. The insurance we carry may be inapplicable or inadequate to cover any such incident, accident or catastrophe. In the event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60" w:right="2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18"/>
          <w:szCs w:val="18"/>
          <w:color w:val="auto"/>
        </w:rPr>
        <w:t>that our insurance is inapplicable or not adequate, we may be forced to bear substantial losses from an incident or accident. In addition, any such incident, accident or catastrophe involving our personnel or one of our aircraft (or personnel and aircraft of our regional operators and our codeshare partners)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20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4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69" w:lineRule="exact"/>
        <w:rPr>
          <w:sz w:val="20"/>
          <w:szCs w:val="20"/>
          <w:color w:val="auto"/>
        </w:rPr>
      </w:pPr>
    </w:p>
    <w:p>
      <w:pPr>
        <w:ind w:left="460" w:right="20" w:hanging="330"/>
        <w:spacing w:after="0" w:line="262"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2" w:lineRule="exact"/>
        <w:rPr>
          <w:rFonts w:ascii="Arial" w:cs="Arial" w:eastAsia="Arial" w:hAnsi="Arial"/>
          <w:sz w:val="18"/>
          <w:szCs w:val="18"/>
          <w:color w:val="auto"/>
        </w:rPr>
      </w:pPr>
    </w:p>
    <w:p>
      <w:pPr>
        <w:ind w:left="460" w:hanging="330"/>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79" w:right="239" w:bottom="1440" w:gutter="0" w:footer="0" w:header="0"/>
        </w:sectPr>
      </w:pPr>
    </w:p>
    <w:bookmarkStart w:id="76" w:name="page77"/>
    <w:bookmarkEnd w:id="76"/>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requirements for commercial airline pilots and other factors have caused a shortage of pilots which could materially adversely affect our business.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Further, in July 2013, the FAA issued regulations that increased the flight hours required for pilots working for airlines certificated under Part 121 of the Federal Aviation Regulations. In addition, on January 4, 2014, more stringent pilot flight and duty time requirements under Part 117 of the Federal Aviation Regulations took effect. These and other factors, including reductions in the number of military pilots being trained by the U.S. armed forces and available as commercial pilots upon their retirement from military service,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to hire pilots to replace retiring pilots.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1"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2016, we had available NOL Carryforwards of approximately $10.5 billion for regular federal income tax purposes which will expire, if unused, beginning in 2022, and approximately $3.7 billion for state income tax purposes which will expire, if unused, between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38" w:right="239" w:bottom="1440" w:gutter="0" w:footer="0" w:header="0"/>
        </w:sectPr>
      </w:pPr>
    </w:p>
    <w:bookmarkStart w:id="77" w:name="page78"/>
    <w:bookmarkEnd w:id="77"/>
    <w:p>
      <w:pPr>
        <w:jc w:val="both"/>
        <w:spacing w:after="0" w:line="262" w:lineRule="auto"/>
        <w:rPr>
          <w:sz w:val="20"/>
          <w:szCs w:val="20"/>
          <w:color w:val="auto"/>
        </w:rPr>
      </w:pPr>
      <w:r>
        <w:rPr>
          <w:rFonts w:ascii="Arial" w:cs="Arial" w:eastAsia="Arial" w:hAnsi="Arial"/>
          <w:sz w:val="18"/>
          <w:szCs w:val="18"/>
          <w:color w:val="auto"/>
        </w:rPr>
        <w:t>2017 and 2036. Our NOL Carryforwards are subject to adjustment on audit by the Internal Revenue Service and the respective state taxing authorities.</w:t>
      </w:r>
    </w:p>
    <w:p>
      <w:pPr>
        <w:spacing w:after="0" w:line="14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$8.9 billion of unlimited NOL still remaining at December 31, 2016)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Restated Certificate of Incorporation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15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0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Goodwill is not amortized, but is assessed for impairment at least annually. In accordance with applicable accounting standards, we are required to assess our indefinite-lived intangible assets for impairment on an annual basis, or more frequently if conditions indicate that an impairment may have occurred. In addition, we are required to assess certain of our other long-lived assets for impairment if conditions indicate that an impairment may have occurred.</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11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market price of AAG common stock may fluctuate substantially due to a variety of factors, many of which are beyond our control, including:</w:t>
      </w:r>
    </w:p>
    <w:p>
      <w:pPr>
        <w:spacing w:after="0" w:line="169" w:lineRule="exact"/>
        <w:rPr>
          <w:sz w:val="20"/>
          <w:szCs w:val="20"/>
          <w:color w:val="auto"/>
        </w:rPr>
      </w:pPr>
    </w:p>
    <w:p>
      <w:pPr>
        <w:ind w:left="460" w:hanging="330"/>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171" w:lineRule="exact"/>
        <w:rPr>
          <w:rFonts w:ascii="Arial" w:cs="Arial" w:eastAsia="Arial" w:hAnsi="Arial"/>
          <w:sz w:val="18"/>
          <w:szCs w:val="18"/>
          <w:color w:val="auto"/>
        </w:rPr>
      </w:pPr>
    </w:p>
    <w:p>
      <w:pPr>
        <w:ind w:left="460" w:hanging="330"/>
        <w:spacing w:after="0" w:line="26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our share repurchase program and any future dividend payments that may be declared by our Board of Directors;</w:t>
      </w:r>
    </w:p>
    <w:p>
      <w:pPr>
        <w:spacing w:after="0" w:line="142" w:lineRule="exact"/>
        <w:rPr>
          <w:rFonts w:ascii="Arial" w:cs="Arial" w:eastAsia="Arial" w:hAnsi="Arial"/>
          <w:sz w:val="18"/>
          <w:szCs w:val="18"/>
          <w:color w:val="auto"/>
        </w:rPr>
      </w:pPr>
    </w:p>
    <w:p>
      <w:pPr>
        <w:ind w:left="460" w:hanging="330"/>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679" w:right="239" w:bottom="1440" w:gutter="0" w:footer="0" w:header="0"/>
        </w:sectPr>
      </w:pPr>
    </w:p>
    <w:bookmarkStart w:id="78" w:name="page79"/>
    <w:bookmarkEnd w:id="78"/>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ind w:left="460" w:right="20" w:hanging="330"/>
        <w:spacing w:after="0" w:line="262"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142" w:lineRule="exact"/>
        <w:rPr>
          <w:rFonts w:ascii="Arial" w:cs="Arial" w:eastAsia="Arial" w:hAnsi="Arial"/>
          <w:sz w:val="18"/>
          <w:szCs w:val="18"/>
          <w:color w:val="auto"/>
        </w:rPr>
      </w:pPr>
    </w:p>
    <w:p>
      <w:pPr>
        <w:ind w:left="460" w:hanging="330"/>
        <w:spacing w:after="0" w:line="262"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restricted stock unit awards, stock appreciation rights, or similar rights;</w:t>
      </w:r>
    </w:p>
    <w:p>
      <w:pPr>
        <w:spacing w:after="0" w:line="142"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230"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share repurchase programs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Since July 2014, as part of our capital deployment program, our Board of Directors has approved six share repurchase programs aggregating $11.0 billion of authority. As of September 30, 2017, $677 million remained unused under a repurchase program that expires on December 31, 2018. Share repurchases under our share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The repurchase programs may be limited, suspended or discontinued at any time without prior notice.</w:t>
      </w:r>
    </w:p>
    <w:p>
      <w:pPr>
        <w:spacing w:after="0" w:line="1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Although our Board of Directors commenced declaring quarterly cash dividends in July 2014 as part of our capital deployment program,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5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repurchases of AAG common stock pursuant to our share repurchase programs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programs and any future dividends will diminish our cash reserves, which may impact our ability to finance future growth and to pursue possible future strategic opportunities and acquisitions. Further, our share repurchase programs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11"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provisions of our Certificate of Incorporation and Second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60" w:right="239" w:bottom="1440" w:gutter="0" w:footer="0" w:header="0"/>
        </w:sectPr>
      </w:pPr>
    </w:p>
    <w:bookmarkStart w:id="79" w:name="page80"/>
    <w:bookmarkEnd w:id="79"/>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171" w:lineRule="exact"/>
        <w:rPr>
          <w:rFonts w:ascii="Arial" w:cs="Arial" w:eastAsia="Arial" w:hAnsi="Arial"/>
          <w:sz w:val="18"/>
          <w:szCs w:val="18"/>
          <w:color w:val="auto"/>
        </w:rPr>
      </w:pPr>
    </w:p>
    <w:p>
      <w:pPr>
        <w:ind w:left="460" w:hanging="330"/>
        <w:spacing w:after="0" w:line="26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2"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9" w:lineRule="exact"/>
        <w:rPr>
          <w:sz w:val="20"/>
          <w:szCs w:val="20"/>
          <w:color w:val="auto"/>
        </w:rPr>
      </w:pPr>
    </w:p>
    <w:p>
      <w:pPr>
        <w:jc w:val="both"/>
        <w:ind w:firstLine="216"/>
        <w:spacing w:after="0" w:line="324" w:lineRule="auto"/>
        <w:rPr>
          <w:sz w:val="20"/>
          <w:szCs w:val="20"/>
          <w:color w:val="auto"/>
        </w:rPr>
      </w:pPr>
      <w:r>
        <w:rPr>
          <w:rFonts w:ascii="Arial" w:cs="Arial" w:eastAsia="Arial" w:hAnsi="Arial"/>
          <w:sz w:val="18"/>
          <w:szCs w:val="18"/>
          <w:color w:val="auto"/>
        </w:rPr>
        <w:t>The following table displays information with respect to our purchases of shares of AAG common stock during the three months ended September 30,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number of shares</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Maximum dollar value of shares</w:t>
            </w: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purchased as part of</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that may be purchased under</w:t>
            </w: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publicly announced</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the plan or program</w:t>
            </w:r>
          </w:p>
        </w:tc>
      </w:tr>
      <w:tr>
        <w:trPr>
          <w:trHeight w:val="196"/>
        </w:trPr>
        <w:tc>
          <w:tcPr>
            <w:tcW w:w="31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 or program</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July 2017</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1,037,573</w:t>
            </w: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$51.79</w:t>
            </w: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1,037,573</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$985</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August 2017</w:t>
            </w:r>
          </w:p>
        </w:tc>
        <w:tc>
          <w:tcPr>
            <w:tcW w:w="1600" w:type="dxa"/>
            <w:vAlign w:val="bottom"/>
          </w:tcPr>
          <w:p>
            <w:pPr>
              <w:jc w:val="right"/>
              <w:ind w:right="97"/>
              <w:spacing w:after="0"/>
              <w:rPr>
                <w:sz w:val="20"/>
                <w:szCs w:val="20"/>
                <w:color w:val="auto"/>
              </w:rPr>
            </w:pPr>
            <w:r>
              <w:rPr>
                <w:rFonts w:ascii="Arial" w:cs="Arial" w:eastAsia="Arial" w:hAnsi="Arial"/>
                <w:sz w:val="18"/>
                <w:szCs w:val="18"/>
                <w:color w:val="auto"/>
              </w:rPr>
              <w:t xml:space="preserve">3,186,417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$46.63</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3,177,325</w:t>
            </w:r>
          </w:p>
        </w:tc>
        <w:tc>
          <w:tcPr>
            <w:tcW w:w="120" w:type="dxa"/>
            <w:vAlign w:val="bottom"/>
          </w:tcPr>
          <w:p>
            <w:pPr>
              <w:spacing w:after="0"/>
              <w:rPr>
                <w:sz w:val="23"/>
                <w:szCs w:val="23"/>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$837</w:t>
            </w: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2017</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3,485,296</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$45.85</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3,485,296</w:t>
            </w:r>
          </w:p>
        </w:tc>
        <w:tc>
          <w:tcPr>
            <w:tcW w:w="120" w:type="dxa"/>
            <w:vAlign w:val="bottom"/>
            <w:shd w:val="clear" w:color="auto" w:fill="CCEEFF"/>
          </w:tcPr>
          <w:p>
            <w:pPr>
              <w:spacing w:after="0"/>
              <w:rPr>
                <w:sz w:val="23"/>
                <w:szCs w:val="23"/>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30" w:lineRule="exact"/>
        <w:rPr>
          <w:sz w:val="20"/>
          <w:szCs w:val="20"/>
          <w:color w:val="auto"/>
        </w:rPr>
      </w:pPr>
    </w:p>
    <w:p>
      <w:pPr>
        <w:jc w:val="both"/>
        <w:ind w:left="540" w:hanging="316"/>
        <w:spacing w:after="0" w:line="233" w:lineRule="auto"/>
        <w:tabs>
          <w:tab w:leader="none" w:pos="54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Includes the repurchase of 9,092 shares of AAG common stock separate from our share repurchase programs in August 2017 for less than $1 million from the Disputed Claims Reserve at the then prevailing market price in order to fund cash tax obligations resulting from distributions by the Disputed Claims Reserve.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60"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2"/>
        </w:trPr>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ind w:left="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w w:val="99"/>
              </w:rPr>
            </w:pPr>
            <w:hyperlink r:id="rId61">
              <w:r>
                <w:rPr>
                  <w:rFonts w:ascii="Arial" w:cs="Arial" w:eastAsia="Arial" w:hAnsi="Arial"/>
                  <w:sz w:val="18"/>
                  <w:szCs w:val="18"/>
                  <w:color w:val="0000FF"/>
                  <w:w w:val="99"/>
                </w:rPr>
                <w:t>Pass Through Trust Agreement, dated as of September 16, 2014, between American Airlines, Inc. and Wilmington Trust Company,</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as Trustee (incorporated by reference to Exhibit 4.1 to American Airlines, Inc.’s Current Report on Form 8-K filed on September 17,</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2014 (Commission File No. 1-2691)).</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w w:val="99"/>
              </w:rPr>
            </w:pPr>
            <w:hyperlink r:id="rId62">
              <w:r>
                <w:rPr>
                  <w:rFonts w:ascii="Arial" w:cs="Arial" w:eastAsia="Arial" w:hAnsi="Arial"/>
                  <w:sz w:val="18"/>
                  <w:szCs w:val="18"/>
                  <w:color w:val="0000FF"/>
                  <w:w w:val="99"/>
                </w:rPr>
                <w:t>Trust Supplement No. 2017-2AA, dated as of August 14, 2017, between American Airlines, Inc. and Wilmington Trust Company, as</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Trustee, to the Pass Through Trust Agreement, dated as of September 16, 2014 (incorporated by reference to Exhibit 4.2 to</w:t>
              </w:r>
            </w:hyperlink>
          </w:p>
        </w:tc>
        <w:tc>
          <w:tcPr>
            <w:tcW w:w="2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American Airlines, Inc.’s Current Report on Form 8-K filed on August 14, 2017 (Commission File No. 1-2691)).</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rPr>
            </w:pPr>
            <w:hyperlink r:id="rId63">
              <w:r>
                <w:rPr>
                  <w:rFonts w:ascii="Arial" w:cs="Arial" w:eastAsia="Arial" w:hAnsi="Arial"/>
                  <w:sz w:val="18"/>
                  <w:szCs w:val="18"/>
                  <w:color w:val="0000FF"/>
                </w:rPr>
                <w:t>Trust Supplement No. 2017-2A, dated as of August 14, 2017, between American Airlines, Inc. and Wilmington Trust Company, as</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Trustee, to the Pass Through Trust Agreement, dated as of September 16, 2014 (incorporated by reference to Exhibit 4.3 to</w:t>
              </w:r>
            </w:hyperlink>
          </w:p>
        </w:tc>
        <w:tc>
          <w:tcPr>
            <w:tcW w:w="2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American Airlines, Inc.’s Current Report on Form 8-K filed on August 14, 2017 (Commission File No. 1-2691)).</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rPr>
            </w:pPr>
            <w:hyperlink r:id="rId64">
              <w:r>
                <w:rPr>
                  <w:rFonts w:ascii="Arial" w:cs="Arial" w:eastAsia="Arial" w:hAnsi="Arial"/>
                  <w:sz w:val="18"/>
                  <w:szCs w:val="18"/>
                  <w:color w:val="0000FF"/>
                </w:rPr>
                <w:t>Intercreditor Agreement (2017-2), dated as of August 14, 2017, among Wilmington Trust Company, as Trustee of the American</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Airlines Pass Through Trust 2017-2AA and as Trustee of the American Airlines Pass Through Trust 2017-2A, National Australia</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Bank Limited, as Class AA Liquidity Provider and Class A Liquidity Provider, and Wilmington Trust Company, as Subordination</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Agent (incorporated by reference to Exhibit 4.4 to American Airlines, Inc.’s Current Report on Form 8-K filed on August 14, 2017</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64">
              <w:r>
                <w:rPr>
                  <w:rFonts w:ascii="Arial" w:cs="Arial" w:eastAsia="Arial" w:hAnsi="Arial"/>
                  <w:sz w:val="18"/>
                  <w:szCs w:val="18"/>
                  <w:color w:val="0000FF"/>
                  <w:w w:val="98"/>
                </w:rPr>
                <w:t>(Commission File No. 1-2691)).</w:t>
              </w:r>
            </w:hyperlink>
          </w:p>
        </w:tc>
        <w:tc>
          <w:tcPr>
            <w:tcW w:w="7940" w:type="dxa"/>
            <w:vAlign w:val="bottom"/>
            <w:gridSpan w:val="9"/>
          </w:tcPr>
          <w:p>
            <w:pPr>
              <w:spacing w:after="0"/>
              <w:rPr>
                <w:sz w:val="15"/>
                <w:szCs w:val="15"/>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rPr>
            </w:pPr>
            <w:hyperlink r:id="rId65">
              <w:r>
                <w:rPr>
                  <w:rFonts w:ascii="Arial" w:cs="Arial" w:eastAsia="Arial" w:hAnsi="Arial"/>
                  <w:sz w:val="18"/>
                  <w:szCs w:val="18"/>
                  <w:color w:val="0000FF"/>
                </w:rPr>
                <w:t>Deposit Agreement (Class AA), dated as of August 14, 2017, between Wilmington Trust, National Association, as Escrow Agent,</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and Natixis S.A., acting through its New York Branch, as Depositary (incorporated by reference to Exhibit 4.5 to American Airlines,</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Inc.’s Current Report on Form 8-K filed on August 14, 2017 (Commission File No. 1-2691)).</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Deposit Agreement (Class A), dated as of August 14, 2017, between Wilmington Trust, National Association, as Escrow Agent, and</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Natixis S.A., acting through its New York Branch, as Depositary (incorporated by reference to Exhibit 4.6 to American Airlines,</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Inc.’s Current Report on Form 8-K filed on August 14, 2017 (Commission File No. 1-2691)).</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10400" w:type="dxa"/>
            <w:vAlign w:val="bottom"/>
            <w:tcBorders>
              <w:bottom w:val="single" w:sz="8" w:color="0000FF"/>
            </w:tcBorders>
            <w:gridSpan w:val="10"/>
          </w:tcPr>
          <w:p>
            <w:pPr>
              <w:spacing w:after="0"/>
              <w:rPr>
                <w:rFonts w:ascii="Arial" w:cs="Arial" w:eastAsia="Arial" w:hAnsi="Arial"/>
                <w:sz w:val="18"/>
                <w:szCs w:val="18"/>
                <w:color w:val="0000FF"/>
              </w:rPr>
            </w:pPr>
            <w:hyperlink r:id="rId67">
              <w:r>
                <w:rPr>
                  <w:rFonts w:ascii="Arial" w:cs="Arial" w:eastAsia="Arial" w:hAnsi="Arial"/>
                  <w:sz w:val="18"/>
                  <w:szCs w:val="18"/>
                  <w:color w:val="0000FF"/>
                </w:rPr>
                <w:t>Escrow and Paying Agent Agreement (Class AA), dated as of August 14, 2017, among Wilmington Trust, National Association, as</w:t>
              </w:r>
            </w:hyperlink>
          </w:p>
        </w:tc>
        <w:tc>
          <w:tcPr>
            <w:tcW w:w="20" w:type="dxa"/>
            <w:vAlign w:val="bottom"/>
          </w:tcPr>
          <w:p>
            <w:pPr>
              <w:spacing w:after="0"/>
              <w:rPr>
                <w:sz w:val="20"/>
                <w:szCs w:val="20"/>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Escrow Agent, Goldman Sachs &amp; Co. LLC, Credit Suisse Securities (USA) LLC and Deutsche Bank Securities Inc., for themselves</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and on behalf of the several Underwriters, Wilmington Trust Company, not in its individual capacity, but solely as Pass Through</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Trustee for and on behalf of American Airlines Pass Through Trust 2017-2AA, and Wilmington Trust Company, as Paying Agent</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(incorporated by reference to Exhibit 4.7 to American Airlines, Inc.’s Current Report on Form 8-K filed on August 14, 2017</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(Commission File No. 1-2691)).</w:t>
              </w:r>
            </w:hyperlink>
          </w:p>
        </w:tc>
        <w:tc>
          <w:tcPr>
            <w:tcW w:w="7940" w:type="dxa"/>
            <w:vAlign w:val="bottom"/>
            <w:gridSpan w:val="9"/>
          </w:tcPr>
          <w:p>
            <w:pPr>
              <w:spacing w:after="0"/>
              <w:rPr>
                <w:sz w:val="15"/>
                <w:szCs w:val="15"/>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rPr>
            </w:pPr>
            <w:hyperlink r:id="rId68">
              <w:r>
                <w:rPr>
                  <w:rFonts w:ascii="Arial" w:cs="Arial" w:eastAsia="Arial" w:hAnsi="Arial"/>
                  <w:sz w:val="18"/>
                  <w:szCs w:val="18"/>
                  <w:color w:val="0000FF"/>
                </w:rPr>
                <w:t>Escrow and Paying Agent Agreement (Class A), dated as of August 14, 2017, among Wilmington Trust, National Association, as</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Escrow Agent, Goldman Sachs &amp; Co. LLC, Credit Suisse Securities (USA) LLC and Deutsche Bank Securities Inc., for themselves</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and on behalf of the several Underwriters, Wilmington Trust Company, not in its individual capacity, but solely as Pass Through</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Trustee for and on behalf of American Airlines Pass Through Trust 2017-2A, and Wilmington Trust Company, as Paying Agent</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(incorporated by reference to Exhibit 4.8 to American Airlines, Inc.’s Current Report on Form 8-K filed on August 14, 2017</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68">
              <w:r>
                <w:rPr>
                  <w:rFonts w:ascii="Arial" w:cs="Arial" w:eastAsia="Arial" w:hAnsi="Arial"/>
                  <w:sz w:val="18"/>
                  <w:szCs w:val="18"/>
                  <w:color w:val="0000FF"/>
                  <w:w w:val="98"/>
                </w:rPr>
                <w:t>(Commission File No. 1-2691)).</w:t>
              </w:r>
            </w:hyperlink>
          </w:p>
        </w:tc>
        <w:tc>
          <w:tcPr>
            <w:tcW w:w="7940" w:type="dxa"/>
            <w:vAlign w:val="bottom"/>
            <w:gridSpan w:val="9"/>
          </w:tcPr>
          <w:p>
            <w:pPr>
              <w:spacing w:after="0"/>
              <w:rPr>
                <w:sz w:val="15"/>
                <w:szCs w:val="15"/>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0420" w:type="dxa"/>
            <w:vAlign w:val="bottom"/>
            <w:gridSpan w:val="11"/>
          </w:tcPr>
          <w:p>
            <w:pPr>
              <w:spacing w:after="0"/>
              <w:rPr>
                <w:rFonts w:ascii="Arial" w:cs="Arial" w:eastAsia="Arial" w:hAnsi="Arial"/>
                <w:sz w:val="18"/>
                <w:szCs w:val="18"/>
                <w:color w:val="0000FF"/>
              </w:rPr>
            </w:pPr>
            <w:hyperlink r:id="rId69">
              <w:r>
                <w:rPr>
                  <w:rFonts w:ascii="Arial" w:cs="Arial" w:eastAsia="Arial" w:hAnsi="Arial"/>
                  <w:sz w:val="18"/>
                  <w:szCs w:val="18"/>
                  <w:color w:val="0000FF"/>
                </w:rPr>
                <w:t>Note Purchase Agreement, dated as of August 14, 2017, among American Airlines, Inc., Wilmington Trust Company, as Pass</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Wilmington Trust, National Association, as Escrow Agent, and Wilmington Trust Company, as Paying Agent (incorporated by</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reference to Exhibit 4.9 to American Airlines, Inc.’s Current Report on Form 8-K filed on August 14, 2017 (Commission File No. 1-</w:t>
              </w:r>
            </w:hyperlink>
          </w:p>
        </w:tc>
      </w:tr>
      <w:tr>
        <w:trPr>
          <w:trHeight w:val="183"/>
        </w:trPr>
        <w:tc>
          <w:tcPr>
            <w:tcW w:w="800" w:type="dxa"/>
            <w:vAlign w:val="bottom"/>
          </w:tcPr>
          <w:p>
            <w:pPr>
              <w:spacing w:after="0"/>
              <w:rPr>
                <w:sz w:val="15"/>
                <w:szCs w:val="15"/>
                <w:color w:val="auto"/>
              </w:rPr>
            </w:pPr>
          </w:p>
        </w:tc>
        <w:tc>
          <w:tcPr>
            <w:tcW w:w="720" w:type="dxa"/>
            <w:vAlign w:val="bottom"/>
            <w:gridSpan w:val="2"/>
          </w:tcPr>
          <w:p>
            <w:pPr>
              <w:ind w:left="160"/>
              <w:spacing w:after="0" w:line="182"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2691)</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w:t>
              </w:r>
            </w:hyperlink>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rPr>
            </w:pPr>
            <w:hyperlink r:id="rId69">
              <w:r>
                <w:rPr>
                  <w:rFonts w:ascii="Arial" w:cs="Arial" w:eastAsia="Arial" w:hAnsi="Arial"/>
                  <w:sz w:val="18"/>
                  <w:szCs w:val="18"/>
                  <w:color w:val="0000FF"/>
                </w:rPr>
                <w:t>Form of Participation Agreement (Participation Agreement among American Airlines, Inc., Wilmington Trust Company, as Pass</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Through Trustee under each of the Pass Through Trust Agreements, Wilmington Trust Company, as Subordination Agent,</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Wilmington Trust Company, as Loan Trustee, and Wilmington Trust Company, in its individual capacity as set forth therein)</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(incorporated by reference to Exhibit B to Exhibit 4.9 to American Airlines, Inc.’s Current Report on Form 8-K filed on August 14,</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2017 (Commission File No. 1-2691)).</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rPr>
            </w:pPr>
            <w:hyperlink r:id="rId69">
              <w:r>
                <w:rPr>
                  <w:rFonts w:ascii="Arial" w:cs="Arial" w:eastAsia="Arial" w:hAnsi="Arial"/>
                  <w:sz w:val="18"/>
                  <w:szCs w:val="18"/>
                  <w:color w:val="0000FF"/>
                </w:rPr>
                <w:t>Form of Indenture and Security Agreement (Indenture and Security Agreement between American Airlines, Inc., and Wilmington</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Trust Company, as Loan Trustee) (incorporated by reference to Exhibit C to Exhibit 4.9 to American Airlines, Inc.’s Current Report</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5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on Form 8-K filed on August 14, 2017 (Commission File No. 1-2691)).</w:t>
              </w:r>
            </w:hyperlink>
          </w:p>
        </w:tc>
        <w:tc>
          <w:tcPr>
            <w:tcW w:w="4900" w:type="dxa"/>
            <w:vAlign w:val="bottom"/>
            <w:gridSpan w:val="6"/>
          </w:tcPr>
          <w:p>
            <w:pPr>
              <w:spacing w:after="0"/>
              <w:rPr>
                <w:sz w:val="15"/>
                <w:szCs w:val="15"/>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rPr>
            </w:pPr>
            <w:hyperlink r:id="rId62">
              <w:r>
                <w:rPr>
                  <w:rFonts w:ascii="Arial" w:cs="Arial" w:eastAsia="Arial" w:hAnsi="Arial"/>
                  <w:sz w:val="18"/>
                  <w:szCs w:val="18"/>
                  <w:color w:val="0000FF"/>
                </w:rPr>
                <w:t>Form of Pass Through Trust Certificate, Series 2017-2AA (incorporated by reference to Exhibit A to Exhibit 4.2 to American</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2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Airlines, Inc.’s Current Report on Form 8-K filed on August 14, 2017 (Commission File No. 1-2691)).</w:t>
              </w:r>
            </w:hyperlink>
          </w:p>
        </w:tc>
        <w:tc>
          <w:tcPr>
            <w:tcW w:w="2500" w:type="dxa"/>
            <w:vAlign w:val="bottom"/>
            <w:gridSpan w:val="3"/>
          </w:tcPr>
          <w:p>
            <w:pPr>
              <w:spacing w:after="0"/>
              <w:rPr>
                <w:sz w:val="15"/>
                <w:szCs w:val="15"/>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0"/>
                <w:szCs w:val="20"/>
                <w:color w:val="auto"/>
              </w:rPr>
            </w:pPr>
          </w:p>
        </w:tc>
        <w:tc>
          <w:tcPr>
            <w:tcW w:w="10400" w:type="dxa"/>
            <w:vAlign w:val="bottom"/>
            <w:tcBorders>
              <w:bottom w:val="single" w:sz="8" w:color="0000FF"/>
            </w:tcBorders>
            <w:gridSpan w:val="10"/>
          </w:tcPr>
          <w:p>
            <w:pPr>
              <w:spacing w:after="0"/>
              <w:rPr>
                <w:rFonts w:ascii="Arial" w:cs="Arial" w:eastAsia="Arial" w:hAnsi="Arial"/>
                <w:sz w:val="18"/>
                <w:szCs w:val="18"/>
                <w:color w:val="0000FF"/>
                <w:w w:val="99"/>
              </w:rPr>
            </w:pPr>
            <w:hyperlink r:id="rId63">
              <w:r>
                <w:rPr>
                  <w:rFonts w:ascii="Arial" w:cs="Arial" w:eastAsia="Arial" w:hAnsi="Arial"/>
                  <w:sz w:val="18"/>
                  <w:szCs w:val="18"/>
                  <w:color w:val="0000FF"/>
                  <w:w w:val="99"/>
                </w:rPr>
                <w:t>Form of Pass Through Trust Certificate, Series 2017-2A (incorporated by reference to Exhibit A to Exhibit 4.3 to American Airlines,</w:t>
              </w:r>
            </w:hyperlink>
          </w:p>
        </w:tc>
        <w:tc>
          <w:tcPr>
            <w:tcW w:w="20" w:type="dxa"/>
            <w:vAlign w:val="bottom"/>
          </w:tcPr>
          <w:p>
            <w:pPr>
              <w:spacing w:after="0"/>
              <w:rPr>
                <w:sz w:val="20"/>
                <w:szCs w:val="20"/>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Inc.’s Current Report on Form 8-K filed on August 14, 2017 (Commission File No. 1-2691)).</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520" w:type="dxa"/>
            <w:vAlign w:val="bottom"/>
            <w:gridSpan w:val="5"/>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0"/>
                <w:szCs w:val="20"/>
                <w:color w:val="auto"/>
              </w:rPr>
            </w:pPr>
          </w:p>
        </w:tc>
        <w:tc>
          <w:tcPr>
            <w:tcW w:w="10420" w:type="dxa"/>
            <w:vAlign w:val="bottom"/>
            <w:tcBorders>
              <w:bottom w:val="single" w:sz="8" w:color="0000FF"/>
            </w:tcBorders>
            <w:gridSpan w:val="11"/>
          </w:tcPr>
          <w:p>
            <w:pPr>
              <w:spacing w:after="0"/>
              <w:rPr>
                <w:rFonts w:ascii="Arial" w:cs="Arial" w:eastAsia="Arial" w:hAnsi="Arial"/>
                <w:sz w:val="18"/>
                <w:szCs w:val="18"/>
                <w:color w:val="0000FF"/>
              </w:rPr>
            </w:pPr>
            <w:hyperlink r:id="rId70">
              <w:r>
                <w:rPr>
                  <w:rFonts w:ascii="Arial" w:cs="Arial" w:eastAsia="Arial" w:hAnsi="Arial"/>
                  <w:sz w:val="18"/>
                  <w:szCs w:val="18"/>
                  <w:color w:val="0000FF"/>
                </w:rPr>
                <w:t>Revolving Credit Agreement (2017-2AA), dated as of August 14, 2017, between Wilmington Trust Company, as Subordination</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Agent, as agent and trustee for the trustee of the American Airlines Pass Through Trust 2017-2AA, as Borrower, and National</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520" w:type="dxa"/>
            <w:vAlign w:val="bottom"/>
            <w:gridSpan w:val="5"/>
            <w:shd w:val="clear" w:color="auto" w:fill="0000FF"/>
          </w:tcPr>
          <w:p>
            <w:pPr>
              <w:spacing w:after="0" w:line="20" w:lineRule="exact"/>
              <w:rPr>
                <w:sz w:val="1"/>
                <w:szCs w:val="1"/>
                <w:color w:val="auto"/>
              </w:rPr>
            </w:pPr>
          </w:p>
        </w:tc>
        <w:tc>
          <w:tcPr>
            <w:tcW w:w="488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Borders>
              <w:bottom w:val="single" w:sz="8" w:color="0000FF"/>
            </w:tcBorders>
            <w:gridSpan w:val="11"/>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Australia Bank Limited, as Liquidity Provider (incorporated by reference to Exhibit 4.14 to American Airlines, Inc.’s Current Report</w:t>
              </w:r>
            </w:hyperlink>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1"/>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on Form 8-K filed on August 14, 2017 (Commission File No. 1-2691)).</w:t>
              </w:r>
            </w:hyperlink>
          </w:p>
        </w:tc>
      </w:tr>
      <w:tr>
        <w:trPr>
          <w:trHeight w:val="49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tcBorders>
              <w:top w:val="single" w:sz="8" w:color="0000FF"/>
            </w:tcBorders>
            <w:gridSpan w:val="5"/>
          </w:tcPr>
          <w:p>
            <w:pPr>
              <w:jc w:val="right"/>
              <w:ind w:right="608"/>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991" w:right="259" w:bottom="1440" w:gutter="0" w:footer="0" w:header="0"/>
        </w:sectPr>
      </w:pPr>
    </w:p>
    <w:bookmarkStart w:id="81" w:name="page82"/>
    <w:bookmarkEnd w:id="81"/>
    <w:p>
      <w:pPr>
        <w:jc w:val="both"/>
        <w:ind w:left="925" w:hanging="917"/>
        <w:spacing w:after="0" w:line="239" w:lineRule="auto"/>
        <w:tabs>
          <w:tab w:leader="none" w:pos="905"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71">
        <w:r>
          <w:rPr>
            <w:rFonts w:ascii="Arial" w:cs="Arial" w:eastAsia="Arial" w:hAnsi="Arial"/>
            <w:sz w:val="18"/>
            <w:szCs w:val="18"/>
            <w:u w:val="single" w:color="auto"/>
            <w:color w:val="0000FF"/>
          </w:rPr>
          <w:t>Revolving Credit Agreement (2017-2A), dated as of August 14, 2017, between Wilmington Trust Company, as Subordination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Agent, as agent and trustee for the trustee of the American Airlines Pass Through Trust 2017-2A, as Borrower, and National</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Australia Bank Limited, as Liquidity Provider (incorporated by reference to Exhibit 4.15 to American Airlines, Inc.’s Current Report</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on Form 8-K filed on August 14, 2017 (Commission File No. 1-2691)).</w:t>
        </w:r>
      </w:hyperlink>
    </w:p>
    <w:p>
      <w:pPr>
        <w:spacing w:after="0" w:line="40" w:lineRule="exact"/>
        <w:rPr>
          <w:rFonts w:ascii="Arial" w:cs="Arial" w:eastAsia="Arial" w:hAnsi="Arial"/>
          <w:sz w:val="18"/>
          <w:szCs w:val="18"/>
          <w:u w:val="single" w:color="auto"/>
          <w:color w:val="0000FF"/>
        </w:rPr>
      </w:pPr>
    </w:p>
    <w:p>
      <w:pPr>
        <w:jc w:val="both"/>
        <w:ind w:left="925" w:right="20" w:hanging="917"/>
        <w:spacing w:after="0"/>
        <w:tabs>
          <w:tab w:leader="none" w:pos="905"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84">
        <w:r>
          <w:rPr>
            <w:rFonts w:ascii="Arial" w:cs="Arial" w:eastAsia="Arial" w:hAnsi="Arial"/>
            <w:sz w:val="18"/>
            <w:szCs w:val="18"/>
            <w:u w:val="single" w:color="auto"/>
            <w:color w:val="0000FF"/>
          </w:rPr>
          <w:t>Second Amendment to the Credit and Guaranty Agreement, dated as of August 21, 2017, amending the Credit and Guaranty</w:t>
        </w:r>
      </w:hyperlink>
      <w:r>
        <w:rPr>
          <w:rFonts w:ascii="Arial" w:cs="Arial" w:eastAsia="Arial" w:hAnsi="Arial"/>
          <w:sz w:val="18"/>
          <w:szCs w:val="18"/>
          <w:u w:val="single" w:color="auto"/>
          <w:color w:val="0000FF"/>
        </w:rPr>
        <w:t xml:space="preserve"> </w:t>
      </w:r>
      <w:hyperlink w:anchor="page84">
        <w:r>
          <w:rPr>
            <w:rFonts w:ascii="Arial" w:cs="Arial" w:eastAsia="Arial" w:hAnsi="Arial"/>
            <w:sz w:val="18"/>
            <w:szCs w:val="18"/>
            <w:u w:val="single" w:color="auto"/>
            <w:color w:val="0000FF"/>
          </w:rPr>
          <w:t>Agreement, dated as of April 29, 2016, among American Airlines, Inc., American Airlines Group Inc., the lenders from time to time</w:t>
        </w:r>
      </w:hyperlink>
      <w:r>
        <w:rPr>
          <w:rFonts w:ascii="Arial" w:cs="Arial" w:eastAsia="Arial" w:hAnsi="Arial"/>
          <w:sz w:val="18"/>
          <w:szCs w:val="18"/>
          <w:u w:val="single" w:color="auto"/>
          <w:color w:val="0000FF"/>
        </w:rPr>
        <w:t xml:space="preserve"> </w:t>
      </w:r>
      <w:hyperlink w:anchor="page84">
        <w:r>
          <w:rPr>
            <w:rFonts w:ascii="Arial" w:cs="Arial" w:eastAsia="Arial" w:hAnsi="Arial"/>
            <w:sz w:val="18"/>
            <w:szCs w:val="18"/>
            <w:u w:val="single" w:color="auto"/>
            <w:color w:val="0000FF"/>
          </w:rPr>
          <w:t>party thereto, Barclays Bank PLC, as administrative agent, and certain other parties thereto.</w:t>
        </w:r>
      </w:hyperlink>
    </w:p>
    <w:p>
      <w:pPr>
        <w:spacing w:after="0" w:line="41" w:lineRule="exact"/>
        <w:rPr>
          <w:rFonts w:ascii="Arial" w:cs="Arial" w:eastAsia="Arial" w:hAnsi="Arial"/>
          <w:sz w:val="18"/>
          <w:szCs w:val="18"/>
          <w:u w:val="single" w:color="auto"/>
          <w:color w:val="0000FF"/>
        </w:rPr>
      </w:pPr>
    </w:p>
    <w:p>
      <w:pPr>
        <w:jc w:val="both"/>
        <w:ind w:left="925" w:right="20" w:hanging="917"/>
        <w:spacing w:after="0" w:line="239" w:lineRule="auto"/>
        <w:tabs>
          <w:tab w:leader="none" w:pos="905"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w:anchor="page94">
        <w:r>
          <w:rPr>
            <w:rFonts w:ascii="Arial" w:cs="Arial" w:eastAsia="Arial" w:hAnsi="Arial"/>
            <w:sz w:val="18"/>
            <w:szCs w:val="18"/>
            <w:u w:val="single" w:color="auto"/>
            <w:color w:val="0000FF"/>
          </w:rPr>
          <w:t>Third Amendment to the Amended and Restated Credit And Guaranty Agreement, dated as of August 21, 2017, amending the</w:t>
        </w:r>
      </w:hyperlink>
      <w:r>
        <w:rPr>
          <w:rFonts w:ascii="Arial" w:cs="Arial" w:eastAsia="Arial" w:hAnsi="Arial"/>
          <w:sz w:val="18"/>
          <w:szCs w:val="18"/>
          <w:u w:val="single" w:color="auto"/>
          <w:color w:val="0000FF"/>
        </w:rPr>
        <w:t xml:space="preserve"> </w:t>
      </w:r>
      <w:hyperlink w:anchor="page94">
        <w:r>
          <w:rPr>
            <w:rFonts w:ascii="Arial" w:cs="Arial" w:eastAsia="Arial" w:hAnsi="Arial"/>
            <w:sz w:val="18"/>
            <w:szCs w:val="18"/>
            <w:u w:val="single" w:color="auto"/>
            <w:color w:val="0000FF"/>
          </w:rPr>
          <w:t>Amended and Restated Credit and Guaranty Agreement, dated as of May 21, 2015, among American Airlines, Inc., American</w:t>
        </w:r>
      </w:hyperlink>
      <w:r>
        <w:rPr>
          <w:rFonts w:ascii="Arial" w:cs="Arial" w:eastAsia="Arial" w:hAnsi="Arial"/>
          <w:sz w:val="18"/>
          <w:szCs w:val="18"/>
          <w:u w:val="single" w:color="auto"/>
          <w:color w:val="0000FF"/>
        </w:rPr>
        <w:t xml:space="preserve"> </w:t>
      </w:r>
      <w:hyperlink w:anchor="page94">
        <w:r>
          <w:rPr>
            <w:rFonts w:ascii="Arial" w:cs="Arial" w:eastAsia="Arial" w:hAnsi="Arial"/>
            <w:sz w:val="18"/>
            <w:szCs w:val="18"/>
            <w:u w:val="single" w:color="auto"/>
            <w:color w:val="0000FF"/>
          </w:rPr>
          <w:t>Airlines Group Inc., the lenders from time to time party thereto, Deutsche Bank AG New York Branch, as administrative agent, and</w:t>
        </w:r>
      </w:hyperlink>
      <w:r>
        <w:rPr>
          <w:rFonts w:ascii="Arial" w:cs="Arial" w:eastAsia="Arial" w:hAnsi="Arial"/>
          <w:sz w:val="18"/>
          <w:szCs w:val="18"/>
          <w:u w:val="single" w:color="auto"/>
          <w:color w:val="0000FF"/>
        </w:rPr>
        <w:t xml:space="preserve"> </w:t>
      </w:r>
      <w:hyperlink w:anchor="page94">
        <w:r>
          <w:rPr>
            <w:rFonts w:ascii="Arial" w:cs="Arial" w:eastAsia="Arial" w:hAnsi="Arial"/>
            <w:sz w:val="18"/>
            <w:szCs w:val="18"/>
            <w:u w:val="single" w:color="auto"/>
            <w:color w:val="0000FF"/>
          </w:rPr>
          <w:t>certain other parties thereto.</w:t>
        </w:r>
      </w:hyperlink>
    </w:p>
    <w:p>
      <w:pPr>
        <w:spacing w:after="0" w:line="40" w:lineRule="exact"/>
        <w:rPr>
          <w:rFonts w:ascii="Arial" w:cs="Arial" w:eastAsia="Arial" w:hAnsi="Arial"/>
          <w:sz w:val="18"/>
          <w:szCs w:val="18"/>
          <w:u w:val="single" w:color="auto"/>
          <w:color w:val="0000FF"/>
        </w:rPr>
      </w:pPr>
    </w:p>
    <w:p>
      <w:pPr>
        <w:jc w:val="both"/>
        <w:ind w:left="925" w:hanging="917"/>
        <w:spacing w:after="0" w:line="239" w:lineRule="auto"/>
        <w:tabs>
          <w:tab w:leader="none" w:pos="905"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w:anchor="page104">
        <w:r>
          <w:rPr>
            <w:rFonts w:ascii="Arial" w:cs="Arial" w:eastAsia="Arial" w:hAnsi="Arial"/>
            <w:sz w:val="18"/>
            <w:szCs w:val="18"/>
            <w:u w:val="single" w:color="auto"/>
            <w:color w:val="0000FF"/>
          </w:rPr>
          <w:t>Fourth Amendment to the Amended and Restated Credit and Guaranty Agreement, dated as of August 21, 2017, amending the</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Amended and Restated Credit and Guaranty Agreement, dated as of April 20, 2015, among American Airlines, Inc., American</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thereto.</w:t>
        </w:r>
      </w:hyperlink>
    </w:p>
    <w:p>
      <w:pPr>
        <w:spacing w:after="0" w:line="40" w:lineRule="exact"/>
        <w:rPr>
          <w:rFonts w:ascii="Arial" w:cs="Arial" w:eastAsia="Arial" w:hAnsi="Arial"/>
          <w:sz w:val="18"/>
          <w:szCs w:val="18"/>
          <w:u w:val="single" w:color="auto"/>
          <w:color w:val="0000FF"/>
        </w:rPr>
      </w:pPr>
    </w:p>
    <w:p>
      <w:pPr>
        <w:ind w:left="5"/>
        <w:spacing w:after="0"/>
        <w:tabs>
          <w:tab w:leader="none" w:pos="905" w:val="left"/>
        </w:tabs>
        <w:rPr>
          <w:rFonts w:ascii="Arial" w:cs="Arial" w:eastAsia="Arial" w:hAnsi="Arial"/>
          <w:sz w:val="17"/>
          <w:szCs w:val="17"/>
          <w:u w:val="single" w:color="auto"/>
          <w:color w:val="0000FF"/>
        </w:rPr>
      </w:pPr>
      <w:r>
        <w:rPr>
          <w:rFonts w:ascii="Arial" w:cs="Arial" w:eastAsia="Arial" w:hAnsi="Arial"/>
          <w:sz w:val="18"/>
          <w:szCs w:val="18"/>
          <w:color w:val="auto"/>
        </w:rPr>
        <w:t>12.1</w:t>
      </w:r>
      <w:r>
        <w:rPr>
          <w:sz w:val="20"/>
          <w:szCs w:val="20"/>
          <w:color w:val="auto"/>
        </w:rPr>
        <w:tab/>
      </w:r>
      <w:hyperlink w:anchor="page114">
        <w:r>
          <w:rPr>
            <w:rFonts w:ascii="Arial" w:cs="Arial" w:eastAsia="Arial" w:hAnsi="Arial"/>
            <w:sz w:val="17"/>
            <w:szCs w:val="17"/>
            <w:u w:val="single" w:color="auto"/>
            <w:color w:val="0000FF"/>
          </w:rPr>
          <w:t>Computation of ratio of earnings to fixed charges of American Airlines Group Inc. for the nine months ended September 30, 2017.</w:t>
        </w:r>
      </w:hyperlink>
    </w:p>
    <w:p>
      <w:pPr>
        <w:spacing w:after="0" w:line="63" w:lineRule="exact"/>
        <w:rPr>
          <w:rFonts w:ascii="Arial" w:cs="Arial" w:eastAsia="Arial" w:hAnsi="Arial"/>
          <w:sz w:val="18"/>
          <w:szCs w:val="18"/>
          <w:u w:val="single" w:color="auto"/>
          <w:color w:val="0000FF"/>
        </w:rPr>
      </w:pPr>
    </w:p>
    <w:p>
      <w:pPr>
        <w:ind w:left="5"/>
        <w:spacing w:after="0"/>
        <w:tabs>
          <w:tab w:leader="none" w:pos="905" w:val="left"/>
        </w:tabs>
        <w:rPr>
          <w:rFonts w:ascii="Arial" w:cs="Arial" w:eastAsia="Arial" w:hAnsi="Arial"/>
          <w:sz w:val="17"/>
          <w:szCs w:val="17"/>
          <w:u w:val="single" w:color="auto"/>
          <w:color w:val="0000FF"/>
        </w:rPr>
      </w:pPr>
      <w:r>
        <w:rPr>
          <w:rFonts w:ascii="Arial" w:cs="Arial" w:eastAsia="Arial" w:hAnsi="Arial"/>
          <w:sz w:val="18"/>
          <w:szCs w:val="18"/>
          <w:color w:val="auto"/>
        </w:rPr>
        <w:t>12.2</w:t>
      </w:r>
      <w:r>
        <w:rPr>
          <w:sz w:val="20"/>
          <w:szCs w:val="20"/>
          <w:color w:val="auto"/>
        </w:rPr>
        <w:tab/>
      </w:r>
      <w:hyperlink w:anchor="page115">
        <w:r>
          <w:rPr>
            <w:rFonts w:ascii="Arial" w:cs="Arial" w:eastAsia="Arial" w:hAnsi="Arial"/>
            <w:sz w:val="17"/>
            <w:szCs w:val="17"/>
            <w:u w:val="single" w:color="auto"/>
            <w:color w:val="0000FF"/>
          </w:rPr>
          <w:t>Computation of ratio of earnings to fixed charges of American Airlines, Inc. for the nine months ended September 30, 2017.</w:t>
        </w:r>
      </w:hyperlink>
    </w:p>
    <w:p>
      <w:pPr>
        <w:spacing w:after="0" w:line="63" w:lineRule="exact"/>
        <w:rPr>
          <w:rFonts w:ascii="Arial" w:cs="Arial" w:eastAsia="Arial" w:hAnsi="Arial"/>
          <w:sz w:val="18"/>
          <w:szCs w:val="18"/>
          <w:u w:val="single" w:color="auto"/>
          <w:color w:val="0000FF"/>
        </w:rPr>
      </w:pPr>
    </w:p>
    <w:p>
      <w:pPr>
        <w:ind w:left="5"/>
        <w:spacing w:after="0"/>
        <w:tabs>
          <w:tab w:leader="none" w:pos="905"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116">
        <w:r>
          <w:rPr>
            <w:rFonts w:ascii="Arial" w:cs="Arial" w:eastAsia="Arial" w:hAnsi="Arial"/>
            <w:sz w:val="17"/>
            <w:szCs w:val="17"/>
            <w:u w:val="single" w:color="auto"/>
            <w:color w:val="0000FF"/>
          </w:rPr>
          <w:t>Certification of AAG Chief Executive Officer pursuant to Rule 13a-14(a).</w:t>
        </w:r>
      </w:hyperlink>
    </w:p>
    <w:p>
      <w:pPr>
        <w:spacing w:after="0" w:line="63" w:lineRule="exact"/>
        <w:rPr>
          <w:rFonts w:ascii="Arial" w:cs="Arial" w:eastAsia="Arial" w:hAnsi="Arial"/>
          <w:sz w:val="18"/>
          <w:szCs w:val="18"/>
          <w:u w:val="single" w:color="auto"/>
          <w:color w:val="0000FF"/>
        </w:rPr>
      </w:pPr>
    </w:p>
    <w:p>
      <w:pPr>
        <w:ind w:left="5"/>
        <w:spacing w:after="0"/>
        <w:tabs>
          <w:tab w:leader="none" w:pos="905"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117">
        <w:r>
          <w:rPr>
            <w:rFonts w:ascii="Arial" w:cs="Arial" w:eastAsia="Arial" w:hAnsi="Arial"/>
            <w:sz w:val="17"/>
            <w:szCs w:val="17"/>
            <w:u w:val="single" w:color="auto"/>
            <w:color w:val="0000FF"/>
          </w:rPr>
          <w:t>Certification of AAG Chief Financial Officer pursuant to Rule 13a-14(a).</w:t>
        </w:r>
      </w:hyperlink>
    </w:p>
    <w:p>
      <w:pPr>
        <w:spacing w:after="0" w:line="63" w:lineRule="exact"/>
        <w:rPr>
          <w:rFonts w:ascii="Arial" w:cs="Arial" w:eastAsia="Arial" w:hAnsi="Arial"/>
          <w:sz w:val="18"/>
          <w:szCs w:val="18"/>
          <w:u w:val="single" w:color="auto"/>
          <w:color w:val="0000FF"/>
        </w:rPr>
      </w:pPr>
    </w:p>
    <w:p>
      <w:pPr>
        <w:ind w:left="5"/>
        <w:spacing w:after="0"/>
        <w:tabs>
          <w:tab w:leader="none" w:pos="905" w:val="left"/>
        </w:tabs>
        <w:rPr>
          <w:rFonts w:ascii="Arial" w:cs="Arial" w:eastAsia="Arial" w:hAnsi="Arial"/>
          <w:sz w:val="17"/>
          <w:szCs w:val="17"/>
          <w:u w:val="single" w:color="auto"/>
          <w:color w:val="0000FF"/>
        </w:rPr>
      </w:pPr>
      <w:r>
        <w:rPr>
          <w:rFonts w:ascii="Arial" w:cs="Arial" w:eastAsia="Arial" w:hAnsi="Arial"/>
          <w:sz w:val="18"/>
          <w:szCs w:val="18"/>
          <w:color w:val="auto"/>
        </w:rPr>
        <w:t>31.3</w:t>
      </w:r>
      <w:r>
        <w:rPr>
          <w:sz w:val="20"/>
          <w:szCs w:val="20"/>
          <w:color w:val="auto"/>
        </w:rPr>
        <w:tab/>
      </w:r>
      <w:hyperlink w:anchor="page118">
        <w:r>
          <w:rPr>
            <w:rFonts w:ascii="Arial" w:cs="Arial" w:eastAsia="Arial" w:hAnsi="Arial"/>
            <w:sz w:val="17"/>
            <w:szCs w:val="17"/>
            <w:u w:val="single" w:color="auto"/>
            <w:color w:val="0000FF"/>
          </w:rPr>
          <w:t>Certification of American Chief Executive Officer pursuant to Rule 13a-14(a).</w:t>
        </w:r>
      </w:hyperlink>
    </w:p>
    <w:p>
      <w:pPr>
        <w:spacing w:after="0" w:line="63" w:lineRule="exact"/>
        <w:rPr>
          <w:rFonts w:ascii="Arial" w:cs="Arial" w:eastAsia="Arial" w:hAnsi="Arial"/>
          <w:sz w:val="18"/>
          <w:szCs w:val="18"/>
          <w:u w:val="single" w:color="auto"/>
          <w:color w:val="0000FF"/>
        </w:rPr>
      </w:pPr>
    </w:p>
    <w:p>
      <w:pPr>
        <w:ind w:left="5"/>
        <w:spacing w:after="0"/>
        <w:tabs>
          <w:tab w:leader="none" w:pos="905" w:val="left"/>
        </w:tabs>
        <w:rPr>
          <w:rFonts w:ascii="Arial" w:cs="Arial" w:eastAsia="Arial" w:hAnsi="Arial"/>
          <w:sz w:val="17"/>
          <w:szCs w:val="17"/>
          <w:u w:val="single" w:color="auto"/>
          <w:color w:val="0000FF"/>
        </w:rPr>
      </w:pPr>
      <w:r>
        <w:rPr>
          <w:rFonts w:ascii="Arial" w:cs="Arial" w:eastAsia="Arial" w:hAnsi="Arial"/>
          <w:sz w:val="18"/>
          <w:szCs w:val="18"/>
          <w:color w:val="auto"/>
        </w:rPr>
        <w:t>31.4</w:t>
      </w:r>
      <w:r>
        <w:rPr>
          <w:sz w:val="20"/>
          <w:szCs w:val="20"/>
          <w:color w:val="auto"/>
        </w:rPr>
        <w:tab/>
      </w:r>
      <w:hyperlink w:anchor="page119">
        <w:r>
          <w:rPr>
            <w:rFonts w:ascii="Arial" w:cs="Arial" w:eastAsia="Arial" w:hAnsi="Arial"/>
            <w:sz w:val="17"/>
            <w:szCs w:val="17"/>
            <w:u w:val="single" w:color="auto"/>
            <w:color w:val="0000FF"/>
          </w:rPr>
          <w:t>Certification of American Chief Financial Officer pursuant to Rule 13a-14(a).</w:t>
        </w:r>
      </w:hyperlink>
    </w:p>
    <w:p>
      <w:pPr>
        <w:spacing w:after="0" w:line="63" w:lineRule="exact"/>
        <w:rPr>
          <w:rFonts w:ascii="Arial" w:cs="Arial" w:eastAsia="Arial" w:hAnsi="Arial"/>
          <w:sz w:val="18"/>
          <w:szCs w:val="18"/>
          <w:u w:val="single" w:color="auto"/>
          <w:color w:val="0000FF"/>
        </w:rPr>
      </w:pPr>
    </w:p>
    <w:p>
      <w:pPr>
        <w:jc w:val="both"/>
        <w:ind w:left="925" w:right="20" w:hanging="917"/>
        <w:spacing w:after="0" w:line="246" w:lineRule="auto"/>
        <w:tabs>
          <w:tab w:leader="none" w:pos="905"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20">
        <w:r>
          <w:rPr>
            <w:rFonts w:ascii="Arial" w:cs="Arial" w:eastAsia="Arial" w:hAnsi="Arial"/>
            <w:sz w:val="18"/>
            <w:szCs w:val="18"/>
            <w:u w:val="single" w:color="auto"/>
            <w:color w:val="0000FF"/>
          </w:rPr>
          <w:t>AAG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120">
        <w:r>
          <w:rPr>
            <w:rFonts w:ascii="Arial" w:cs="Arial" w:eastAsia="Arial" w:hAnsi="Arial"/>
            <w:sz w:val="18"/>
            <w:szCs w:val="18"/>
            <w:u w:val="single" w:color="auto"/>
            <w:color w:val="0000FF"/>
          </w:rPr>
          <w:t>section 1350, chapter 63 of title 18, United States Code).</w:t>
        </w:r>
      </w:hyperlink>
    </w:p>
    <w:p>
      <w:pPr>
        <w:spacing w:after="0" w:line="35" w:lineRule="exact"/>
        <w:rPr>
          <w:sz w:val="20"/>
          <w:szCs w:val="20"/>
          <w:color w:val="auto"/>
        </w:rPr>
      </w:pPr>
    </w:p>
    <w:p>
      <w:pPr>
        <w:jc w:val="both"/>
        <w:ind w:left="925" w:hanging="917"/>
        <w:spacing w:after="0" w:line="246" w:lineRule="auto"/>
        <w:tabs>
          <w:tab w:leader="none" w:pos="905"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21">
        <w:r>
          <w:rPr>
            <w:rFonts w:ascii="Arial" w:cs="Arial" w:eastAsia="Arial" w:hAnsi="Arial"/>
            <w:sz w:val="18"/>
            <w:szCs w:val="18"/>
            <w:u w:val="single" w:color="auto"/>
            <w:color w:val="0000FF"/>
          </w:rPr>
          <w:t>American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121">
        <w:r>
          <w:rPr>
            <w:rFonts w:ascii="Arial" w:cs="Arial" w:eastAsia="Arial" w:hAnsi="Arial"/>
            <w:sz w:val="18"/>
            <w:szCs w:val="18"/>
            <w:u w:val="single" w:color="auto"/>
            <w:color w:val="0000FF"/>
          </w:rPr>
          <w:t>section 1350, chapter 63 of title 18, United States Code).</w:t>
        </w:r>
      </w:hyperlink>
    </w:p>
    <w:p>
      <w:pPr>
        <w:spacing w:after="0" w:line="35" w:lineRule="exact"/>
        <w:rPr>
          <w:sz w:val="20"/>
          <w:szCs w:val="20"/>
          <w:color w:val="auto"/>
        </w:rPr>
      </w:pPr>
    </w:p>
    <w:p>
      <w:pPr>
        <w:ind w:left="5"/>
        <w:spacing w:after="0"/>
        <w:tabs>
          <w:tab w:leader="none" w:pos="905"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12" w:lineRule="exact"/>
        <w:rPr>
          <w:sz w:val="20"/>
          <w:szCs w:val="20"/>
          <w:color w:val="auto"/>
        </w:rPr>
      </w:pPr>
    </w:p>
    <w:p>
      <w:pPr>
        <w:ind w:left="5585" w:right="3060" w:hanging="5585"/>
        <w:spacing w:after="0" w:line="810" w:lineRule="auto"/>
        <w:tabs>
          <w:tab w:leader="none" w:pos="9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agreement. 81</w:t>
      </w:r>
    </w:p>
    <w:p>
      <w:pPr>
        <w:sectPr>
          <w:pgSz w:w="11900" w:h="16838" w:orient="portrait"/>
          <w:cols w:equalWidth="0" w:num="1">
            <w:col w:w="11365"/>
          </w:cols>
          <w:pgMar w:left="275" w:top="1003"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Group Inc.</w:t>
      </w:r>
    </w:p>
    <w:p>
      <w:pPr>
        <w:spacing w:after="0" w:line="39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14605</wp:posOffset>
            </wp:positionV>
            <wp:extent cx="34988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39"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Inc.</w:t>
      </w:r>
    </w:p>
    <w:p>
      <w:pPr>
        <w:spacing w:after="0" w:line="39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14605</wp:posOffset>
            </wp:positionV>
            <wp:extent cx="34988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76"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SECOND AMENDMENT TO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SECOND AMENDMENT TO CREDIT AND GUARANTY AGREEMENT (this “</w:t>
      </w:r>
      <w:r>
        <w:rPr>
          <w:rFonts w:ascii="Arial" w:cs="Arial" w:eastAsia="Arial" w:hAnsi="Arial"/>
          <w:sz w:val="22"/>
          <w:szCs w:val="22"/>
          <w:i w:val="1"/>
          <w:iCs w:val="1"/>
          <w:color w:val="auto"/>
        </w:rPr>
        <w:t>Second Amendment</w:t>
      </w:r>
      <w:r>
        <w:rPr>
          <w:rFonts w:ascii="Arial" w:cs="Arial" w:eastAsia="Arial" w:hAnsi="Arial"/>
          <w:sz w:val="22"/>
          <w:szCs w:val="22"/>
          <w:color w:val="auto"/>
        </w:rPr>
        <w:t>”), dated as of August 21, 2017 among American Airlines, Inc., a Delaware corporation (the “</w:t>
      </w:r>
      <w:r>
        <w:rPr>
          <w:rFonts w:ascii="Arial" w:cs="Arial" w:eastAsia="Arial" w:hAnsi="Arial"/>
          <w:sz w:val="22"/>
          <w:szCs w:val="22"/>
          <w:i w:val="1"/>
          <w:iCs w:val="1"/>
          <w:color w:val="auto"/>
        </w:rPr>
        <w:t>Borrower</w:t>
      </w:r>
      <w:r>
        <w:rPr>
          <w:rFonts w:ascii="Arial" w:cs="Arial" w:eastAsia="Arial" w:hAnsi="Arial"/>
          <w:sz w:val="22"/>
          <w:szCs w:val="22"/>
          <w:color w:val="auto"/>
        </w:rPr>
        <w:t>”), American Airlines Group Inc., a Delaware corporation (the “</w:t>
      </w:r>
      <w:r>
        <w:rPr>
          <w:rFonts w:ascii="Arial" w:cs="Arial" w:eastAsia="Arial" w:hAnsi="Arial"/>
          <w:sz w:val="22"/>
          <w:szCs w:val="22"/>
          <w:i w:val="1"/>
          <w:iCs w:val="1"/>
          <w:color w:val="auto"/>
        </w:rPr>
        <w:t>Parent</w:t>
      </w:r>
      <w:r>
        <w:rPr>
          <w:rFonts w:ascii="Arial" w:cs="Arial" w:eastAsia="Arial" w:hAnsi="Arial"/>
          <w:sz w:val="22"/>
          <w:szCs w:val="22"/>
          <w:color w:val="auto"/>
        </w:rPr>
        <w:t>” or the “</w:t>
      </w:r>
      <w:r>
        <w:rPr>
          <w:rFonts w:ascii="Arial" w:cs="Arial" w:eastAsia="Arial" w:hAnsi="Arial"/>
          <w:sz w:val="22"/>
          <w:szCs w:val="22"/>
          <w:i w:val="1"/>
          <w:iCs w:val="1"/>
          <w:color w:val="auto"/>
        </w:rPr>
        <w:t>Guarantor</w:t>
      </w:r>
      <w:r>
        <w:rPr>
          <w:rFonts w:ascii="Arial" w:cs="Arial" w:eastAsia="Arial" w:hAnsi="Arial"/>
          <w:sz w:val="22"/>
          <w:szCs w:val="22"/>
          <w:color w:val="auto"/>
        </w:rPr>
        <w:t>”), each of the undersigned lenders (the “</w:t>
      </w:r>
      <w:r>
        <w:rPr>
          <w:rFonts w:ascii="Arial" w:cs="Arial" w:eastAsia="Arial" w:hAnsi="Arial"/>
          <w:sz w:val="22"/>
          <w:szCs w:val="22"/>
          <w:i w:val="1"/>
          <w:iCs w:val="1"/>
          <w:color w:val="auto"/>
        </w:rPr>
        <w:t>New Revolving Lenders</w:t>
      </w:r>
      <w:r>
        <w:rPr>
          <w:rFonts w:ascii="Arial" w:cs="Arial" w:eastAsia="Arial" w:hAnsi="Arial"/>
          <w:sz w:val="22"/>
          <w:szCs w:val="22"/>
          <w:color w:val="auto"/>
        </w:rPr>
        <w:t>”) and Barclays Bank PLC, as administrative agent (in such capacity, the “</w:t>
      </w:r>
      <w:r>
        <w:rPr>
          <w:rFonts w:ascii="Arial" w:cs="Arial" w:eastAsia="Arial" w:hAnsi="Arial"/>
          <w:sz w:val="22"/>
          <w:szCs w:val="22"/>
          <w:i w:val="1"/>
          <w:iCs w:val="1"/>
          <w:color w:val="auto"/>
        </w:rPr>
        <w:t>Administrative Agent</w:t>
      </w:r>
      <w:r>
        <w:rPr>
          <w:rFonts w:ascii="Arial" w:cs="Arial" w:eastAsia="Arial" w:hAnsi="Arial"/>
          <w:sz w:val="22"/>
          <w:szCs w:val="22"/>
          <w:color w:val="auto"/>
        </w:rPr>
        <w:t>”). Unless otherwise indicated, all capitalized terms used herein and not otherwise defined shall have the respective meanings provided such terms in the Credit Agreement referred to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WHEREAS, the Borrower, the Guarantor, the lenders from time to time party thereto, the Administrative Agent and certain other parties thereto are parties to that certain Credit and Guaranty Agreement, dated as of April 29, 2016 (as amended by that certain First Amendment to Credit and Guaranty Agreement, dated October 31, 2016 and as further amended, restated, supplemented or otherwise modified to but not including the Second Amendment Effective Date as defined below, the “</w:t>
      </w:r>
      <w:r>
        <w:rPr>
          <w:rFonts w:ascii="Arial" w:cs="Arial" w:eastAsia="Arial" w:hAnsi="Arial"/>
          <w:sz w:val="22"/>
          <w:szCs w:val="22"/>
          <w:i w:val="1"/>
          <w:iCs w:val="1"/>
          <w:color w:val="auto"/>
        </w:rPr>
        <w:t>Credit</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each Revolving Lender will hold such Revolving Commitment as is set out opposite its name 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Schedule 1;</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pursuant to Section 2.27 of the Credit Agreement, the Borrower may request an increase to the existing Revolving Commitments, subject to and on the terms and conditions provided therein;</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the Borrower hereby notifies the Administrative Agent of its request for $300,000,000 of new Revolving Commitments (the “</w:t>
      </w:r>
      <w:r>
        <w:rPr>
          <w:rFonts w:ascii="Arial" w:cs="Arial" w:eastAsia="Arial" w:hAnsi="Arial"/>
          <w:sz w:val="22"/>
          <w:szCs w:val="22"/>
          <w:i w:val="1"/>
          <w:iCs w:val="1"/>
          <w:color w:val="auto"/>
        </w:rPr>
        <w:t>New Revolving Commitments</w:t>
      </w:r>
      <w:r>
        <w:rPr>
          <w:rFonts w:ascii="Arial" w:cs="Arial" w:eastAsia="Arial" w:hAnsi="Arial"/>
          <w:sz w:val="22"/>
          <w:szCs w:val="22"/>
          <w:color w:val="auto"/>
        </w:rPr>
        <w:t>”) to be made available by the New Revolving Lenders with respect to such New Revolving Commitments in the amount specified therefor on Schedule 1 hereto and requests that the Administrative Agent waive any applicable notice period otherwise required;</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each New Revolving Lender is willing to provide a New Revolving Commitment in the amount set forth opposite its name in Schedule 1 hereto, subject to and on the terms and conditions set forth herein and in the Credit Agreement;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Borrower, the Administrative Agent, and the New Revolving Lenders wish to amend the Credit Agreement to provide for certain other modifications to the Credit Agreement, in each case, on the terms and subject to the conditions set forth herein; and</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ectPr>
          <w:pgSz w:w="11900" w:h="16838" w:orient="portrait"/>
          <w:cols w:equalWidth="0" w:num="1">
            <w:col w:w="11420"/>
          </w:cols>
          <w:pgMar w:left="240" w:top="364" w:right="239" w:bottom="1440" w:gutter="0" w:footer="0" w:header="0"/>
        </w:sectPr>
      </w:pPr>
    </w:p>
    <w:bookmarkStart w:id="84" w:name="page85"/>
    <w:bookmarkEnd w:id="84"/>
    <w:p>
      <w:pPr>
        <w:jc w:val="both"/>
        <w:ind w:firstLine="1297"/>
        <w:spacing w:after="0" w:line="247" w:lineRule="auto"/>
        <w:rPr>
          <w:sz w:val="20"/>
          <w:szCs w:val="20"/>
          <w:color w:val="auto"/>
        </w:rPr>
      </w:pPr>
      <w:r>
        <w:rPr>
          <w:rFonts w:ascii="Arial" w:cs="Arial" w:eastAsia="Arial" w:hAnsi="Arial"/>
          <w:sz w:val="22"/>
          <w:szCs w:val="22"/>
          <w:u w:val="single" w:color="auto"/>
          <w:color w:val="auto"/>
        </w:rPr>
        <w:t>SECTION ONE - Allocation of Revolving Commitments</w:t>
      </w:r>
      <w:r>
        <w:rPr>
          <w:rFonts w:ascii="Arial" w:cs="Arial" w:eastAsia="Arial" w:hAnsi="Arial"/>
          <w:sz w:val="22"/>
          <w:szCs w:val="22"/>
          <w:color w:val="auto"/>
        </w:rPr>
        <w:t>. On the Second Amendment Effective Date the Borrower and the New Revolving Lenders agree that, (1) the Total Revolving Commitment shall equal the sum of the New Revolving Commitments, (2) New Revolving Commitments shall constitute Revolving Commitments for all purposes of the Credit Agreement and the other Loan Documents and (3) each New Revolving Lender shall become a Revolving Lender under the Credit Agreement (as amended hereby). For purposes of the Credit Agreement, this Second Amendment shall constitute an “Increase Joinder.”</w:t>
      </w:r>
    </w:p>
    <w:p>
      <w:pPr>
        <w:spacing w:after="0" w:line="200" w:lineRule="exact"/>
        <w:rPr>
          <w:sz w:val="20"/>
          <w:szCs w:val="20"/>
          <w:color w:val="auto"/>
        </w:rPr>
      </w:pPr>
    </w:p>
    <w:p>
      <w:pPr>
        <w:spacing w:after="0" w:line="21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SECTION TWO - Increase in Revolving Commitments</w:t>
      </w:r>
      <w:r>
        <w:rPr>
          <w:rFonts w:ascii="Arial" w:cs="Arial" w:eastAsia="Arial" w:hAnsi="Arial"/>
          <w:sz w:val="22"/>
          <w:szCs w:val="22"/>
          <w:color w:val="auto"/>
        </w:rPr>
        <w:t>. On the Second Amendment Effective Date, the Credit Agreement is modified as follows:</w:t>
      </w:r>
    </w:p>
    <w:p>
      <w:pPr>
        <w:spacing w:after="0" w:line="391" w:lineRule="exact"/>
        <w:rPr>
          <w:sz w:val="20"/>
          <w:szCs w:val="20"/>
          <w:color w:val="auto"/>
        </w:rPr>
      </w:pPr>
    </w:p>
    <w:p>
      <w:pPr>
        <w:ind w:right="260" w:firstLine="1305"/>
        <w:spacing w:after="0" w:line="276" w:lineRule="auto"/>
        <w:tabs>
          <w:tab w:leader="none" w:pos="1716"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the rate per annum determined pursuant to the following:</w:t>
      </w:r>
    </w:p>
    <w:p>
      <w:pPr>
        <w:spacing w:after="0" w:line="343" w:lineRule="exact"/>
        <w:rPr>
          <w:sz w:val="20"/>
          <w:szCs w:val="20"/>
          <w:color w:val="auto"/>
        </w:rPr>
      </w:pPr>
    </w:p>
    <w:tbl>
      <w:tblPr>
        <w:tblLayout w:type="fixed"/>
        <w:tblInd w:w="1310" w:type="dxa"/>
        <w:tblCellMar>
          <w:top w:w="0" w:type="dxa"/>
          <w:left w:w="0" w:type="dxa"/>
          <w:bottom w:w="0" w:type="dxa"/>
          <w:right w:w="0" w:type="dxa"/>
        </w:tblCellMar>
      </w:tblPr>
      <w:tr>
        <w:trPr>
          <w:trHeight w:val="262"/>
        </w:trPr>
        <w:tc>
          <w:tcPr>
            <w:tcW w:w="2760" w:type="dxa"/>
            <w:vAlign w:val="bottom"/>
            <w:tcBorders>
              <w:top w:val="single" w:sz="8" w:color="00000A"/>
              <w:left w:val="single" w:sz="8" w:color="00000A"/>
              <w:right w:val="single" w:sz="8" w:color="00000A"/>
            </w:tcBorders>
          </w:tcPr>
          <w:p>
            <w:pPr>
              <w:ind w:left="740"/>
              <w:spacing w:after="0"/>
              <w:rPr>
                <w:sz w:val="20"/>
                <w:szCs w:val="20"/>
                <w:color w:val="auto"/>
              </w:rPr>
            </w:pPr>
            <w:r>
              <w:rPr>
                <w:rFonts w:ascii="Arial" w:cs="Arial" w:eastAsia="Arial" w:hAnsi="Arial"/>
                <w:sz w:val="22"/>
                <w:szCs w:val="22"/>
                <w:color w:val="auto"/>
              </w:rPr>
              <w:t>Class of Loans</w:t>
            </w:r>
          </w:p>
        </w:tc>
        <w:tc>
          <w:tcPr>
            <w:tcW w:w="25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Applicable Margin</w:t>
            </w:r>
          </w:p>
        </w:tc>
        <w:tc>
          <w:tcPr>
            <w:tcW w:w="33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Applicable Margin ABR Loans</w:t>
            </w:r>
          </w:p>
        </w:tc>
      </w:tr>
      <w:tr>
        <w:trPr>
          <w:trHeight w:val="275"/>
        </w:trPr>
        <w:tc>
          <w:tcPr>
            <w:tcW w:w="2760" w:type="dxa"/>
            <w:vAlign w:val="bottom"/>
            <w:tcBorders>
              <w:left w:val="single" w:sz="8" w:color="00000A"/>
              <w:right w:val="single" w:sz="8" w:color="00000A"/>
            </w:tcBorders>
          </w:tcPr>
          <w:p>
            <w:pPr>
              <w:spacing w:after="0"/>
              <w:rPr>
                <w:sz w:val="23"/>
                <w:szCs w:val="23"/>
                <w:color w:val="auto"/>
              </w:rPr>
            </w:pP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Eurodollar Loans</w:t>
            </w:r>
          </w:p>
        </w:tc>
        <w:tc>
          <w:tcPr>
            <w:tcW w:w="3320" w:type="dxa"/>
            <w:vAlign w:val="bottom"/>
            <w:tcBorders>
              <w:right w:val="single" w:sz="8" w:color="00000A"/>
            </w:tcBorders>
          </w:tcPr>
          <w:p>
            <w:pPr>
              <w:spacing w:after="0"/>
              <w:rPr>
                <w:sz w:val="23"/>
                <w:szCs w:val="23"/>
                <w:color w:val="auto"/>
              </w:rPr>
            </w:pPr>
          </w:p>
        </w:tc>
      </w:tr>
      <w:tr>
        <w:trPr>
          <w:trHeight w:val="233"/>
        </w:trPr>
        <w:tc>
          <w:tcPr>
            <w:tcW w:w="2760" w:type="dxa"/>
            <w:vAlign w:val="bottom"/>
            <w:tcBorders>
              <w:left w:val="single" w:sz="8" w:color="00000A"/>
              <w:bottom w:val="single" w:sz="8" w:color="00000A"/>
              <w:right w:val="single" w:sz="8" w:color="00000A"/>
            </w:tcBorders>
          </w:tcPr>
          <w:p>
            <w:pPr>
              <w:spacing w:after="0"/>
              <w:rPr>
                <w:sz w:val="20"/>
                <w:szCs w:val="20"/>
                <w:color w:val="auto"/>
              </w:rPr>
            </w:pPr>
          </w:p>
        </w:tc>
        <w:tc>
          <w:tcPr>
            <w:tcW w:w="2500" w:type="dxa"/>
            <w:vAlign w:val="bottom"/>
            <w:tcBorders>
              <w:bottom w:val="single" w:sz="8" w:color="00000A"/>
              <w:right w:val="single" w:sz="8" w:color="00000A"/>
            </w:tcBorders>
          </w:tcPr>
          <w:p>
            <w:pPr>
              <w:spacing w:after="0"/>
              <w:rPr>
                <w:sz w:val="20"/>
                <w:szCs w:val="20"/>
                <w:color w:val="auto"/>
              </w:rPr>
            </w:pPr>
          </w:p>
        </w:tc>
        <w:tc>
          <w:tcPr>
            <w:tcW w:w="3320" w:type="dxa"/>
            <w:vAlign w:val="bottom"/>
            <w:tcBorders>
              <w:bottom w:val="single" w:sz="8" w:color="00000A"/>
              <w:right w:val="single" w:sz="8" w:color="00000A"/>
            </w:tcBorders>
          </w:tcPr>
          <w:p>
            <w:pPr>
              <w:spacing w:after="0"/>
              <w:rPr>
                <w:sz w:val="20"/>
                <w:szCs w:val="20"/>
                <w:color w:val="auto"/>
              </w:rPr>
            </w:pPr>
          </w:p>
        </w:tc>
      </w:tr>
      <w:tr>
        <w:trPr>
          <w:trHeight w:val="242"/>
        </w:trPr>
        <w:tc>
          <w:tcPr>
            <w:tcW w:w="276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3"/>
              </w:rPr>
              <w:t>Replacement  Class  B  Term</w:t>
            </w:r>
          </w:p>
        </w:tc>
        <w:tc>
          <w:tcPr>
            <w:tcW w:w="250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2.50%</w:t>
            </w:r>
          </w:p>
        </w:tc>
        <w:tc>
          <w:tcPr>
            <w:tcW w:w="332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9"/>
              </w:rPr>
              <w:t>1.50%</w:t>
            </w:r>
          </w:p>
        </w:tc>
      </w:tr>
      <w:tr>
        <w:trPr>
          <w:trHeight w:val="275"/>
        </w:trPr>
        <w:tc>
          <w:tcPr>
            <w:tcW w:w="27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Loans</w:t>
            </w:r>
          </w:p>
        </w:tc>
        <w:tc>
          <w:tcPr>
            <w:tcW w:w="2500" w:type="dxa"/>
            <w:vAlign w:val="bottom"/>
            <w:tcBorders>
              <w:right w:val="single" w:sz="8" w:color="00000A"/>
            </w:tcBorders>
          </w:tcPr>
          <w:p>
            <w:pPr>
              <w:spacing w:after="0"/>
              <w:rPr>
                <w:sz w:val="23"/>
                <w:szCs w:val="23"/>
                <w:color w:val="auto"/>
              </w:rPr>
            </w:pPr>
          </w:p>
        </w:tc>
        <w:tc>
          <w:tcPr>
            <w:tcW w:w="3320" w:type="dxa"/>
            <w:vAlign w:val="bottom"/>
            <w:tcBorders>
              <w:right w:val="single" w:sz="8" w:color="00000A"/>
            </w:tcBorders>
          </w:tcPr>
          <w:p>
            <w:pPr>
              <w:spacing w:after="0"/>
              <w:rPr>
                <w:sz w:val="23"/>
                <w:szCs w:val="23"/>
                <w:color w:val="auto"/>
              </w:rPr>
            </w:pPr>
          </w:p>
        </w:tc>
      </w:tr>
      <w:tr>
        <w:trPr>
          <w:trHeight w:val="233"/>
        </w:trPr>
        <w:tc>
          <w:tcPr>
            <w:tcW w:w="2760" w:type="dxa"/>
            <w:vAlign w:val="bottom"/>
            <w:tcBorders>
              <w:left w:val="single" w:sz="8" w:color="00000A"/>
              <w:bottom w:val="single" w:sz="8" w:color="00000A"/>
              <w:right w:val="single" w:sz="8" w:color="00000A"/>
            </w:tcBorders>
          </w:tcPr>
          <w:p>
            <w:pPr>
              <w:spacing w:after="0"/>
              <w:rPr>
                <w:sz w:val="20"/>
                <w:szCs w:val="20"/>
                <w:color w:val="auto"/>
              </w:rPr>
            </w:pPr>
          </w:p>
        </w:tc>
        <w:tc>
          <w:tcPr>
            <w:tcW w:w="2500" w:type="dxa"/>
            <w:vAlign w:val="bottom"/>
            <w:tcBorders>
              <w:bottom w:val="single" w:sz="8" w:color="00000A"/>
              <w:right w:val="single" w:sz="8" w:color="00000A"/>
            </w:tcBorders>
          </w:tcPr>
          <w:p>
            <w:pPr>
              <w:spacing w:after="0"/>
              <w:rPr>
                <w:sz w:val="20"/>
                <w:szCs w:val="20"/>
                <w:color w:val="auto"/>
              </w:rPr>
            </w:pPr>
          </w:p>
        </w:tc>
        <w:tc>
          <w:tcPr>
            <w:tcW w:w="3320" w:type="dxa"/>
            <w:vAlign w:val="bottom"/>
            <w:tcBorders>
              <w:bottom w:val="single" w:sz="8" w:color="00000A"/>
              <w:right w:val="single" w:sz="8" w:color="00000A"/>
            </w:tcBorders>
          </w:tcPr>
          <w:p>
            <w:pPr>
              <w:spacing w:after="0"/>
              <w:rPr>
                <w:sz w:val="20"/>
                <w:szCs w:val="20"/>
                <w:color w:val="auto"/>
              </w:rPr>
            </w:pPr>
          </w:p>
        </w:tc>
      </w:tr>
      <w:tr>
        <w:trPr>
          <w:trHeight w:val="274"/>
        </w:trPr>
        <w:tc>
          <w:tcPr>
            <w:tcW w:w="27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Revolving Loans</w:t>
            </w:r>
          </w:p>
        </w:tc>
        <w:tc>
          <w:tcPr>
            <w:tcW w:w="25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9"/>
              </w:rPr>
              <w:t>2.25%</w:t>
            </w:r>
          </w:p>
        </w:tc>
        <w:tc>
          <w:tcPr>
            <w:tcW w:w="33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9"/>
              </w:rPr>
              <w:t>1.25%</w:t>
            </w:r>
          </w:p>
        </w:tc>
      </w:tr>
      <w:tr>
        <w:trPr>
          <w:trHeight w:val="233"/>
        </w:trPr>
        <w:tc>
          <w:tcPr>
            <w:tcW w:w="2760" w:type="dxa"/>
            <w:vAlign w:val="bottom"/>
            <w:tcBorders>
              <w:left w:val="single" w:sz="8" w:color="00000A"/>
              <w:bottom w:val="single" w:sz="8" w:color="00000A"/>
              <w:right w:val="single" w:sz="8" w:color="00000A"/>
            </w:tcBorders>
          </w:tcPr>
          <w:p>
            <w:pPr>
              <w:spacing w:after="0"/>
              <w:rPr>
                <w:sz w:val="20"/>
                <w:szCs w:val="20"/>
                <w:color w:val="auto"/>
              </w:rPr>
            </w:pPr>
          </w:p>
        </w:tc>
        <w:tc>
          <w:tcPr>
            <w:tcW w:w="2500" w:type="dxa"/>
            <w:vAlign w:val="bottom"/>
            <w:tcBorders>
              <w:bottom w:val="single" w:sz="8" w:color="00000A"/>
              <w:right w:val="single" w:sz="8" w:color="00000A"/>
            </w:tcBorders>
          </w:tcPr>
          <w:p>
            <w:pPr>
              <w:spacing w:after="0"/>
              <w:rPr>
                <w:sz w:val="20"/>
                <w:szCs w:val="20"/>
                <w:color w:val="auto"/>
              </w:rPr>
            </w:pPr>
          </w:p>
        </w:tc>
        <w:tc>
          <w:tcPr>
            <w:tcW w:w="3320" w:type="dxa"/>
            <w:vAlign w:val="bottom"/>
            <w:tcBorders>
              <w:bottom w:val="single" w:sz="8" w:color="00000A"/>
              <w:right w:val="single" w:sz="8" w:color="00000A"/>
            </w:tcBorders>
          </w:tcPr>
          <w:p>
            <w:pPr>
              <w:spacing w:after="0"/>
              <w:rPr>
                <w:sz w:val="20"/>
                <w:szCs w:val="20"/>
                <w:color w:val="auto"/>
              </w:rPr>
            </w:pPr>
          </w:p>
        </w:tc>
      </w:tr>
    </w:tbl>
    <w:p>
      <w:pPr>
        <w:spacing w:after="0" w:line="208" w:lineRule="exact"/>
        <w:rPr>
          <w:sz w:val="20"/>
          <w:szCs w:val="20"/>
          <w:color w:val="auto"/>
        </w:rPr>
      </w:pPr>
    </w:p>
    <w:p>
      <w:pPr>
        <w:ind w:right="780" w:firstLine="1305"/>
        <w:spacing w:after="0" w:line="276" w:lineRule="auto"/>
        <w:tabs>
          <w:tab w:leader="none" w:pos="1728"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Commitment Fee Rate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Commitment Fee Rate</w:t>
      </w:r>
      <w:r>
        <w:rPr>
          <w:rFonts w:ascii="Arial" w:cs="Arial" w:eastAsia="Arial" w:hAnsi="Arial"/>
          <w:sz w:val="22"/>
          <w:szCs w:val="22"/>
          <w:color w:val="auto"/>
        </w:rPr>
        <w:t xml:space="preserve"> shall mean 0.75% per annum.”;</w:t>
      </w:r>
    </w:p>
    <w:p>
      <w:pPr>
        <w:spacing w:after="0" w:line="200" w:lineRule="exact"/>
        <w:rPr>
          <w:sz w:val="20"/>
          <w:szCs w:val="20"/>
          <w:color w:val="auto"/>
        </w:rPr>
      </w:pPr>
    </w:p>
    <w:p>
      <w:pPr>
        <w:spacing w:after="0" w:line="236" w:lineRule="exact"/>
        <w:rPr>
          <w:sz w:val="20"/>
          <w:szCs w:val="20"/>
          <w:color w:val="auto"/>
        </w:rPr>
      </w:pPr>
    </w:p>
    <w:p>
      <w:pPr>
        <w:ind w:right="680" w:firstLine="1305"/>
        <w:spacing w:after="0" w:line="276" w:lineRule="auto"/>
        <w:tabs>
          <w:tab w:leader="none" w:pos="1716"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LIBO Rate</w:t>
      </w:r>
      <w:r>
        <w:rPr>
          <w:rFonts w:ascii="Arial" w:cs="Arial" w:eastAsia="Arial" w:hAnsi="Arial"/>
          <w:sz w:val="22"/>
          <w:szCs w:val="22"/>
          <w:color w:val="auto"/>
        </w:rPr>
        <w:t>” appearing in Section 1.01 of the Credit Agreement is hereby amended by deleting clause (a) in the second proviso.</w:t>
      </w:r>
    </w:p>
    <w:p>
      <w:pPr>
        <w:spacing w:after="0" w:line="377" w:lineRule="exact"/>
        <w:rPr>
          <w:rFonts w:ascii="Arial" w:cs="Arial" w:eastAsia="Arial" w:hAnsi="Arial"/>
          <w:sz w:val="22"/>
          <w:szCs w:val="22"/>
          <w:color w:val="auto"/>
        </w:rPr>
      </w:pPr>
    </w:p>
    <w:p>
      <w:pPr>
        <w:ind w:right="420" w:firstLine="1305"/>
        <w:spacing w:after="0" w:line="276" w:lineRule="auto"/>
        <w:tabs>
          <w:tab w:leader="none" w:pos="1728"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Revolver Availability Date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Revolver Availability Date</w:t>
      </w:r>
      <w:r>
        <w:rPr>
          <w:rFonts w:ascii="Arial" w:cs="Arial" w:eastAsia="Arial" w:hAnsi="Arial"/>
          <w:sz w:val="22"/>
          <w:szCs w:val="22"/>
          <w:color w:val="auto"/>
        </w:rPr>
        <w:t>” shall mean the Second Amendment Effective Date.</w:t>
      </w:r>
    </w:p>
    <w:p>
      <w:pPr>
        <w:spacing w:after="0" w:line="200" w:lineRule="exact"/>
        <w:rPr>
          <w:sz w:val="20"/>
          <w:szCs w:val="20"/>
          <w:color w:val="auto"/>
        </w:rPr>
      </w:pPr>
    </w:p>
    <w:p>
      <w:pPr>
        <w:spacing w:after="0" w:line="236" w:lineRule="exact"/>
        <w:rPr>
          <w:sz w:val="20"/>
          <w:szCs w:val="20"/>
          <w:color w:val="auto"/>
        </w:rPr>
      </w:pPr>
    </w:p>
    <w:p>
      <w:pPr>
        <w:ind w:right="500" w:firstLine="1305"/>
        <w:spacing w:after="0" w:line="276" w:lineRule="auto"/>
        <w:tabs>
          <w:tab w:leader="none" w:pos="1716"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900" w:firstLine="97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Revolving Facility Maturity Date</w:t>
      </w:r>
      <w:r>
        <w:rPr>
          <w:rFonts w:ascii="Arial" w:cs="Arial" w:eastAsia="Arial" w:hAnsi="Arial"/>
          <w:sz w:val="21"/>
          <w:szCs w:val="21"/>
          <w:color w:val="auto"/>
        </w:rPr>
        <w:t>” shall mean, with respect to (a) Revolving Commitments that have not been extended pursuant to Section 2.28(b), but including Revolving Commitments extended or made available pursuant to the Second Amendment, October 13, 2022 and (b) with respect to Extended Revolving Commitments extended after the Second Amendment Effective Date, the final maturity date therefor 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85" w:name="page86"/>
    <w:bookmarkEnd w:id="85"/>
    <w:p>
      <w:pPr>
        <w:ind w:left="900"/>
        <w:spacing w:after="0"/>
        <w:rPr>
          <w:sz w:val="20"/>
          <w:szCs w:val="20"/>
          <w:color w:val="auto"/>
        </w:rPr>
      </w:pPr>
      <w:r>
        <w:rPr>
          <w:rFonts w:ascii="Arial" w:cs="Arial" w:eastAsia="Arial" w:hAnsi="Arial"/>
          <w:sz w:val="21"/>
          <w:szCs w:val="21"/>
          <w:color w:val="auto"/>
        </w:rPr>
        <w:t>specified in the applicable Extension Offer accepted by the respective Revolving Lender or Revolving Lenders.”;</w:t>
      </w:r>
    </w:p>
    <w:p>
      <w:pPr>
        <w:spacing w:after="0" w:line="200" w:lineRule="exact"/>
        <w:rPr>
          <w:sz w:val="20"/>
          <w:szCs w:val="20"/>
          <w:color w:val="auto"/>
        </w:rPr>
      </w:pPr>
    </w:p>
    <w:p>
      <w:pPr>
        <w:spacing w:after="0" w:line="247" w:lineRule="exact"/>
        <w:rPr>
          <w:sz w:val="20"/>
          <w:szCs w:val="20"/>
          <w:color w:val="auto"/>
        </w:rPr>
      </w:pPr>
    </w:p>
    <w:p>
      <w:pPr>
        <w:ind w:left="1760" w:hanging="455"/>
        <w:spacing w:after="0"/>
        <w:tabs>
          <w:tab w:leader="none" w:pos="17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inserting the following definitions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Second Amendment</w:t>
      </w:r>
      <w:r>
        <w:rPr>
          <w:rFonts w:ascii="Arial" w:cs="Arial" w:eastAsia="Arial" w:hAnsi="Arial"/>
          <w:sz w:val="19"/>
          <w:szCs w:val="19"/>
          <w:color w:val="auto"/>
        </w:rPr>
        <w:t>” shall mean the Second Amendment to this Agreement, dated as of August 21, 2017.”;</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18"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Second Amendment Effective Date</w:t>
      </w:r>
      <w:r>
        <w:rPr>
          <w:rFonts w:ascii="Arial" w:cs="Arial" w:eastAsia="Arial" w:hAnsi="Arial"/>
          <w:sz w:val="21"/>
          <w:szCs w:val="21"/>
          <w:color w:val="auto"/>
        </w:rPr>
        <w:t>” shall have the meaning provided in the Second Amendment.”;</w:t>
      </w:r>
    </w:p>
    <w:p>
      <w:pPr>
        <w:spacing w:after="0" w:line="200" w:lineRule="exact"/>
        <w:rPr>
          <w:sz w:val="20"/>
          <w:szCs w:val="20"/>
          <w:color w:val="auto"/>
        </w:rPr>
      </w:pPr>
    </w:p>
    <w:p>
      <w:pPr>
        <w:spacing w:after="0" w:line="247" w:lineRule="exact"/>
        <w:rPr>
          <w:sz w:val="20"/>
          <w:szCs w:val="20"/>
          <w:color w:val="auto"/>
        </w:rPr>
      </w:pPr>
    </w:p>
    <w:p>
      <w:pPr>
        <w:ind w:left="1380"/>
        <w:spacing w:after="0"/>
        <w:tabs>
          <w:tab w:leader="none" w:pos="18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The definition of “</w:t>
      </w:r>
      <w:r>
        <w:rPr>
          <w:rFonts w:ascii="Arial" w:cs="Arial" w:eastAsia="Arial" w:hAnsi="Arial"/>
          <w:sz w:val="19"/>
          <w:szCs w:val="19"/>
          <w:i w:val="1"/>
          <w:iCs w:val="1"/>
          <w:color w:val="auto"/>
        </w:rPr>
        <w:t>Revolving Commitment</w:t>
      </w:r>
      <w:r>
        <w:rPr>
          <w:rFonts w:ascii="Arial" w:cs="Arial" w:eastAsia="Arial" w:hAnsi="Arial"/>
          <w:sz w:val="19"/>
          <w:szCs w:val="19"/>
          <w:color w:val="auto"/>
        </w:rPr>
        <w:t>” is hereby amended and restated in its entirety as follows:</w:t>
      </w:r>
    </w:p>
    <w:p>
      <w:pPr>
        <w:spacing w:after="0" w:line="200" w:lineRule="exact"/>
        <w:rPr>
          <w:sz w:val="20"/>
          <w:szCs w:val="20"/>
          <w:color w:val="auto"/>
        </w:rPr>
      </w:pPr>
    </w:p>
    <w:p>
      <w:pPr>
        <w:spacing w:after="0" w:line="249" w:lineRule="exact"/>
        <w:rPr>
          <w:sz w:val="20"/>
          <w:szCs w:val="20"/>
          <w:color w:val="auto"/>
        </w:rPr>
      </w:pPr>
    </w:p>
    <w:p>
      <w:pPr>
        <w:jc w:val="both"/>
        <w:ind w:left="1380" w:firstLine="56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Revolving Commitment</w:t>
      </w:r>
      <w:r>
        <w:rPr>
          <w:rFonts w:ascii="Arial" w:cs="Arial" w:eastAsia="Arial" w:hAnsi="Arial"/>
          <w:sz w:val="21"/>
          <w:szCs w:val="21"/>
          <w:color w:val="auto"/>
        </w:rPr>
        <w:t>” shall mean the commitment of each Revolving Lender to make Revolving Loans and participate in Letters of Credit hereunder in an aggregate principal and/or face amount not to exceed the amount set forth under the heading “Revolving Commitment” opposite its name in Annex A hereto or in the Assignment and Acceptance pursuant to which such Revolving Lender became a party hereto, as the same may be changed from time to time pursuant to the terms hereof. The aggregate amount of the Total Revolving Commitments as of the Second Amendment Effective Date and after giving effect to the New Revolving Commitments under, and as defined in the Second Amendment, is $300,000,000.”; and</w:t>
      </w:r>
    </w:p>
    <w:p>
      <w:pPr>
        <w:spacing w:after="0" w:line="397" w:lineRule="exact"/>
        <w:rPr>
          <w:sz w:val="20"/>
          <w:szCs w:val="20"/>
          <w:color w:val="auto"/>
        </w:rPr>
      </w:pPr>
    </w:p>
    <w:p>
      <w:pPr>
        <w:ind w:left="1380"/>
        <w:spacing w:after="0"/>
        <w:tabs>
          <w:tab w:leader="none" w:pos="18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Section 2.20(b) of the Credit Agreement is here by amended and restated in its entirety as follows:</w:t>
      </w:r>
    </w:p>
    <w:p>
      <w:pPr>
        <w:spacing w:after="0" w:line="200" w:lineRule="exact"/>
        <w:rPr>
          <w:sz w:val="20"/>
          <w:szCs w:val="20"/>
          <w:color w:val="auto"/>
        </w:rPr>
      </w:pPr>
    </w:p>
    <w:p>
      <w:pPr>
        <w:spacing w:after="0" w:line="249" w:lineRule="exact"/>
        <w:rPr>
          <w:sz w:val="20"/>
          <w:szCs w:val="20"/>
          <w:color w:val="auto"/>
        </w:rPr>
      </w:pPr>
    </w:p>
    <w:p>
      <w:pPr>
        <w:ind w:firstLine="1297"/>
        <w:spacing w:after="0" w:line="343" w:lineRule="auto"/>
        <w:rPr>
          <w:sz w:val="20"/>
          <w:szCs w:val="20"/>
          <w:color w:val="auto"/>
        </w:rPr>
      </w:pPr>
      <w:r>
        <w:rPr>
          <w:rFonts w:ascii="Arial" w:cs="Arial" w:eastAsia="Arial" w:hAnsi="Arial"/>
          <w:sz w:val="19"/>
          <w:szCs w:val="19"/>
          <w:color w:val="auto"/>
        </w:rPr>
        <w:t>“The Borrower shall pay on the Revolver Availability Date to each Revolving Lender as of such date, an upfront fee (the “</w:t>
      </w:r>
      <w:r>
        <w:rPr>
          <w:rFonts w:ascii="Arial" w:cs="Arial" w:eastAsia="Arial" w:hAnsi="Arial"/>
          <w:sz w:val="19"/>
          <w:szCs w:val="19"/>
          <w:i w:val="1"/>
          <w:iCs w:val="1"/>
          <w:color w:val="auto"/>
        </w:rPr>
        <w:t>Upfront Fee</w:t>
      </w:r>
      <w:r>
        <w:rPr>
          <w:rFonts w:ascii="Arial" w:cs="Arial" w:eastAsia="Arial" w:hAnsi="Arial"/>
          <w:sz w:val="19"/>
          <w:szCs w:val="19"/>
          <w:color w:val="auto"/>
        </w:rPr>
        <w:t>”) as set forth in the Revolving Lenders Fee Letter, dated as of the Second Amendment Effective Date.”</w:t>
      </w:r>
    </w:p>
    <w:p>
      <w:pPr>
        <w:spacing w:after="0" w:line="321" w:lineRule="exact"/>
        <w:rPr>
          <w:sz w:val="20"/>
          <w:szCs w:val="20"/>
          <w:color w:val="auto"/>
        </w:rPr>
      </w:pPr>
    </w:p>
    <w:p>
      <w:pPr>
        <w:ind w:left="1380"/>
        <w:spacing w:after="0"/>
        <w:tabs>
          <w:tab w:leader="none" w:pos="17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“Annex A” of the Credit Agreement is hereby amended and restated in its entirety in the form attached hereto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 Schedule 1.</w:t>
      </w:r>
    </w:p>
    <w:p>
      <w:pPr>
        <w:spacing w:after="0" w:line="200" w:lineRule="exact"/>
        <w:rPr>
          <w:sz w:val="20"/>
          <w:szCs w:val="20"/>
          <w:color w:val="auto"/>
        </w:rPr>
      </w:pPr>
    </w:p>
    <w:p>
      <w:pPr>
        <w:spacing w:after="0" w:line="231" w:lineRule="exact"/>
        <w:rPr>
          <w:sz w:val="20"/>
          <w:szCs w:val="20"/>
          <w:color w:val="auto"/>
        </w:rPr>
      </w:pPr>
    </w:p>
    <w:p>
      <w:pPr>
        <w:jc w:val="both"/>
        <w:ind w:left="80" w:firstLine="1216"/>
        <w:spacing w:after="0" w:line="253" w:lineRule="auto"/>
        <w:rPr>
          <w:sz w:val="20"/>
          <w:szCs w:val="20"/>
          <w:color w:val="auto"/>
        </w:rPr>
      </w:pPr>
      <w:r>
        <w:rPr>
          <w:rFonts w:ascii="Arial" w:cs="Arial" w:eastAsia="Arial" w:hAnsi="Arial"/>
          <w:sz w:val="22"/>
          <w:szCs w:val="22"/>
          <w:color w:val="auto"/>
        </w:rPr>
        <w:t>Notwithstanding anything in this Second Amendment or the Credit Agreement to the contrary, the Administrative Agent hereby waives the minimum notice required by Section 2.27(a) of the Credit Agreement in connection with the establishment of the New Revolving Commitments.</w:t>
      </w:r>
    </w:p>
    <w:p>
      <w:pPr>
        <w:spacing w:after="0" w:line="200" w:lineRule="exact"/>
        <w:rPr>
          <w:sz w:val="20"/>
          <w:szCs w:val="20"/>
          <w:color w:val="auto"/>
        </w:rPr>
      </w:pPr>
    </w:p>
    <w:p>
      <w:pPr>
        <w:spacing w:after="0" w:line="202" w:lineRule="exact"/>
        <w:rPr>
          <w:sz w:val="20"/>
          <w:szCs w:val="20"/>
          <w:color w:val="auto"/>
        </w:rPr>
      </w:pPr>
    </w:p>
    <w:p>
      <w:pPr>
        <w:jc w:val="both"/>
        <w:ind w:left="80" w:firstLine="1216"/>
        <w:spacing w:after="0" w:line="263" w:lineRule="auto"/>
        <w:rPr>
          <w:sz w:val="20"/>
          <w:szCs w:val="20"/>
          <w:color w:val="auto"/>
        </w:rPr>
      </w:pPr>
      <w:r>
        <w:rPr>
          <w:rFonts w:ascii="Arial" w:cs="Arial" w:eastAsia="Arial" w:hAnsi="Arial"/>
          <w:sz w:val="22"/>
          <w:szCs w:val="22"/>
          <w:u w:val="single" w:color="auto"/>
          <w:color w:val="auto"/>
        </w:rPr>
        <w:t>SECTION THREE - Titles and Roles</w:t>
      </w:r>
      <w:r>
        <w:rPr>
          <w:rFonts w:ascii="Arial" w:cs="Arial" w:eastAsia="Arial" w:hAnsi="Arial"/>
          <w:sz w:val="22"/>
          <w:szCs w:val="22"/>
          <w:color w:val="auto"/>
        </w:rPr>
        <w:t>. The parties hereto agree that, as of the Second Amendment Effective Date (as defined below) and in connection with the Second Amendment:</w:t>
      </w:r>
    </w:p>
    <w:p>
      <w:pPr>
        <w:spacing w:after="0" w:line="391" w:lineRule="exact"/>
        <w:rPr>
          <w:sz w:val="20"/>
          <w:szCs w:val="20"/>
          <w:color w:val="auto"/>
        </w:rPr>
      </w:pPr>
    </w:p>
    <w:p>
      <w:pPr>
        <w:jc w:val="both"/>
        <w:ind w:firstLine="1305"/>
        <w:spacing w:after="0" w:line="253" w:lineRule="auto"/>
        <w:tabs>
          <w:tab w:leader="none" w:pos="1872" w:val="left"/>
        </w:tabs>
        <w:numPr>
          <w:ilvl w:val="0"/>
          <w:numId w:val="50"/>
        </w:numPr>
        <w:rPr>
          <w:rFonts w:ascii="Arial" w:cs="Arial" w:eastAsia="Arial" w:hAnsi="Arial"/>
          <w:sz w:val="22"/>
          <w:szCs w:val="22"/>
          <w:color w:val="auto"/>
        </w:rPr>
      </w:pPr>
      <w:r>
        <w:rPr>
          <w:rFonts w:ascii="Arial" w:cs="Arial" w:eastAsia="Arial" w:hAnsi="Arial"/>
          <w:sz w:val="22"/>
          <w:szCs w:val="22"/>
          <w:color w:val="auto"/>
        </w:rPr>
        <w:t>each of Barclays Bank PLC (“</w:t>
      </w:r>
      <w:r>
        <w:rPr>
          <w:rFonts w:ascii="Arial" w:cs="Arial" w:eastAsia="Arial" w:hAnsi="Arial"/>
          <w:sz w:val="22"/>
          <w:szCs w:val="22"/>
          <w:i w:val="1"/>
          <w:iCs w:val="1"/>
          <w:color w:val="auto"/>
        </w:rPr>
        <w:t>Barclays</w:t>
      </w:r>
      <w:r>
        <w:rPr>
          <w:rFonts w:ascii="Arial" w:cs="Arial" w:eastAsia="Arial" w:hAnsi="Arial"/>
          <w:sz w:val="22"/>
          <w:szCs w:val="22"/>
          <w:color w:val="auto"/>
        </w:rPr>
        <w:t>”), Citigroup Global Markets Inc. (“</w:t>
      </w:r>
      <w:r>
        <w:rPr>
          <w:rFonts w:ascii="Arial" w:cs="Arial" w:eastAsia="Arial" w:hAnsi="Arial"/>
          <w:sz w:val="22"/>
          <w:szCs w:val="22"/>
          <w:i w:val="1"/>
          <w:iCs w:val="1"/>
          <w:color w:val="auto"/>
        </w:rPr>
        <w:t>Citi</w:t>
      </w:r>
      <w:r>
        <w:rPr>
          <w:rFonts w:ascii="Arial" w:cs="Arial" w:eastAsia="Arial" w:hAnsi="Arial"/>
          <w:sz w:val="22"/>
          <w:szCs w:val="22"/>
          <w:color w:val="auto"/>
        </w:rPr>
        <w:t>”), Credit Suisse Securities (USA) LLC (“</w:t>
      </w:r>
      <w:r>
        <w:rPr>
          <w:rFonts w:ascii="Arial" w:cs="Arial" w:eastAsia="Arial" w:hAnsi="Arial"/>
          <w:sz w:val="22"/>
          <w:szCs w:val="22"/>
          <w:i w:val="1"/>
          <w:iCs w:val="1"/>
          <w:color w:val="auto"/>
        </w:rPr>
        <w:t>CS Securities</w:t>
      </w:r>
      <w:r>
        <w:rPr>
          <w:rFonts w:ascii="Arial" w:cs="Arial" w:eastAsia="Arial" w:hAnsi="Arial"/>
          <w:sz w:val="22"/>
          <w:szCs w:val="22"/>
          <w:color w:val="auto"/>
        </w:rPr>
        <w:t>”), Deutsche Bank Securities Inc. (“</w:t>
      </w:r>
      <w:r>
        <w:rPr>
          <w:rFonts w:ascii="Arial" w:cs="Arial" w:eastAsia="Arial" w:hAnsi="Arial"/>
          <w:sz w:val="22"/>
          <w:szCs w:val="22"/>
          <w:i w:val="1"/>
          <w:iCs w:val="1"/>
          <w:color w:val="auto"/>
        </w:rPr>
        <w:t>DBSI</w:t>
      </w:r>
      <w:r>
        <w:rPr>
          <w:rFonts w:ascii="Arial" w:cs="Arial" w:eastAsia="Arial" w:hAnsi="Arial"/>
          <w:sz w:val="22"/>
          <w:szCs w:val="22"/>
          <w:color w:val="auto"/>
        </w:rPr>
        <w:t>”), Goldman Sachs Lending Partners LLC (“</w:t>
      </w:r>
      <w:r>
        <w:rPr>
          <w:rFonts w:ascii="Arial" w:cs="Arial" w:eastAsia="Arial" w:hAnsi="Arial"/>
          <w:sz w:val="22"/>
          <w:szCs w:val="22"/>
          <w:i w:val="1"/>
          <w:iCs w:val="1"/>
          <w:color w:val="auto"/>
        </w:rPr>
        <w:t>GSLP</w:t>
      </w:r>
      <w:r>
        <w:rPr>
          <w:rFonts w:ascii="Arial" w:cs="Arial" w:eastAsia="Arial" w:hAnsi="Arial"/>
          <w:sz w:val="22"/>
          <w:szCs w:val="22"/>
          <w:color w:val="auto"/>
        </w:rPr>
        <w:t>”), Industrial and Commercial Bank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86" w:name="page87"/>
    <w:bookmarkEnd w:id="86"/>
    <w:p>
      <w:pPr>
        <w:jc w:val="both"/>
        <w:spacing w:after="0" w:line="263" w:lineRule="auto"/>
        <w:rPr>
          <w:sz w:val="20"/>
          <w:szCs w:val="20"/>
          <w:color w:val="auto"/>
        </w:rPr>
      </w:pPr>
      <w:r>
        <w:rPr>
          <w:rFonts w:ascii="Arial" w:cs="Arial" w:eastAsia="Arial" w:hAnsi="Arial"/>
          <w:sz w:val="21"/>
          <w:szCs w:val="21"/>
          <w:color w:val="auto"/>
        </w:rPr>
        <w:t>China Limited, New York Branch (“</w:t>
      </w:r>
      <w:r>
        <w:rPr>
          <w:rFonts w:ascii="Arial" w:cs="Arial" w:eastAsia="Arial" w:hAnsi="Arial"/>
          <w:sz w:val="21"/>
          <w:szCs w:val="21"/>
          <w:i w:val="1"/>
          <w:iCs w:val="1"/>
          <w:color w:val="auto"/>
        </w:rPr>
        <w:t>ICBC</w:t>
      </w:r>
      <w:r>
        <w:rPr>
          <w:rFonts w:ascii="Arial" w:cs="Arial" w:eastAsia="Arial" w:hAnsi="Arial"/>
          <w:sz w:val="21"/>
          <w:szCs w:val="21"/>
          <w:color w:val="auto"/>
        </w:rPr>
        <w:t>”), JPMorgan Chase Bank, N.A. (“</w:t>
      </w:r>
      <w:r>
        <w:rPr>
          <w:rFonts w:ascii="Arial" w:cs="Arial" w:eastAsia="Arial" w:hAnsi="Arial"/>
          <w:sz w:val="21"/>
          <w:szCs w:val="21"/>
          <w:i w:val="1"/>
          <w:iCs w:val="1"/>
          <w:color w:val="auto"/>
        </w:rPr>
        <w:t>JPMCB</w:t>
      </w:r>
      <w:r>
        <w:rPr>
          <w:rFonts w:ascii="Arial" w:cs="Arial" w:eastAsia="Arial" w:hAnsi="Arial"/>
          <w:sz w:val="21"/>
          <w:szCs w:val="21"/>
          <w:color w:val="auto"/>
        </w:rPr>
        <w:t>”), Merrill Lynch, Pierce, Fenner &amp; Smith Incorporated (“</w:t>
      </w:r>
      <w:r>
        <w:rPr>
          <w:rFonts w:ascii="Arial" w:cs="Arial" w:eastAsia="Arial" w:hAnsi="Arial"/>
          <w:sz w:val="21"/>
          <w:szCs w:val="21"/>
          <w:i w:val="1"/>
          <w:iCs w:val="1"/>
          <w:color w:val="auto"/>
        </w:rPr>
        <w:t>ML</w:t>
      </w:r>
      <w:r>
        <w:rPr>
          <w:rFonts w:ascii="Arial" w:cs="Arial" w:eastAsia="Arial" w:hAnsi="Arial"/>
          <w:sz w:val="21"/>
          <w:szCs w:val="21"/>
          <w:color w:val="auto"/>
        </w:rPr>
        <w:t>”), Morgan Stanley Senior Funding, Inc. (“</w:t>
      </w:r>
      <w:r>
        <w:rPr>
          <w:rFonts w:ascii="Arial" w:cs="Arial" w:eastAsia="Arial" w:hAnsi="Arial"/>
          <w:sz w:val="21"/>
          <w:szCs w:val="21"/>
          <w:i w:val="1"/>
          <w:iCs w:val="1"/>
          <w:color w:val="auto"/>
        </w:rPr>
        <w:t>MS</w:t>
      </w:r>
      <w:r>
        <w:rPr>
          <w:rFonts w:ascii="Arial" w:cs="Arial" w:eastAsia="Arial" w:hAnsi="Arial"/>
          <w:sz w:val="21"/>
          <w:szCs w:val="21"/>
          <w:color w:val="auto"/>
        </w:rPr>
        <w:t>”), BNP Paribas Securities Corp. (“</w:t>
      </w:r>
      <w:r>
        <w:rPr>
          <w:rFonts w:ascii="Arial" w:cs="Arial" w:eastAsia="Arial" w:hAnsi="Arial"/>
          <w:sz w:val="21"/>
          <w:szCs w:val="21"/>
          <w:i w:val="1"/>
          <w:iCs w:val="1"/>
          <w:color w:val="auto"/>
        </w:rPr>
        <w:t>BNP Securities</w:t>
      </w:r>
      <w:r>
        <w:rPr>
          <w:rFonts w:ascii="Arial" w:cs="Arial" w:eastAsia="Arial" w:hAnsi="Arial"/>
          <w:sz w:val="21"/>
          <w:szCs w:val="21"/>
          <w:color w:val="auto"/>
        </w:rPr>
        <w:t>”), Credit Agricole Corporate and Investment Bank (“</w:t>
      </w:r>
      <w:r>
        <w:rPr>
          <w:rFonts w:ascii="Arial" w:cs="Arial" w:eastAsia="Arial" w:hAnsi="Arial"/>
          <w:sz w:val="21"/>
          <w:szCs w:val="21"/>
          <w:i w:val="1"/>
          <w:iCs w:val="1"/>
          <w:color w:val="auto"/>
        </w:rPr>
        <w:t>CA-CIB</w:t>
      </w:r>
      <w:r>
        <w:rPr>
          <w:rFonts w:ascii="Arial" w:cs="Arial" w:eastAsia="Arial" w:hAnsi="Arial"/>
          <w:sz w:val="21"/>
          <w:szCs w:val="21"/>
          <w:color w:val="auto"/>
        </w:rPr>
        <w:t>”), Standard Chartered Bank (“</w:t>
      </w:r>
      <w:r>
        <w:rPr>
          <w:rFonts w:ascii="Arial" w:cs="Arial" w:eastAsia="Arial" w:hAnsi="Arial"/>
          <w:sz w:val="21"/>
          <w:szCs w:val="21"/>
          <w:i w:val="1"/>
          <w:iCs w:val="1"/>
          <w:color w:val="auto"/>
        </w:rPr>
        <w:t>SCB</w:t>
      </w:r>
      <w:r>
        <w:rPr>
          <w:rFonts w:ascii="Arial" w:cs="Arial" w:eastAsia="Arial" w:hAnsi="Arial"/>
          <w:sz w:val="21"/>
          <w:szCs w:val="21"/>
          <w:color w:val="auto"/>
        </w:rPr>
        <w:t>”), Sumitomo Mitsui Banking Corporation (“</w:t>
      </w:r>
      <w:r>
        <w:rPr>
          <w:rFonts w:ascii="Arial" w:cs="Arial" w:eastAsia="Arial" w:hAnsi="Arial"/>
          <w:sz w:val="21"/>
          <w:szCs w:val="21"/>
          <w:i w:val="1"/>
          <w:iCs w:val="1"/>
          <w:color w:val="auto"/>
        </w:rPr>
        <w:t>SMBC</w:t>
      </w:r>
      <w:r>
        <w:rPr>
          <w:rFonts w:ascii="Arial" w:cs="Arial" w:eastAsia="Arial" w:hAnsi="Arial"/>
          <w:sz w:val="21"/>
          <w:szCs w:val="21"/>
          <w:color w:val="auto"/>
        </w:rPr>
        <w:t>”), U.S. Bank National Association (“</w:t>
      </w:r>
      <w:r>
        <w:rPr>
          <w:rFonts w:ascii="Arial" w:cs="Arial" w:eastAsia="Arial" w:hAnsi="Arial"/>
          <w:sz w:val="21"/>
          <w:szCs w:val="21"/>
          <w:i w:val="1"/>
          <w:iCs w:val="1"/>
          <w:color w:val="auto"/>
        </w:rPr>
        <w:t>US Bank</w:t>
      </w:r>
      <w:r>
        <w:rPr>
          <w:rFonts w:ascii="Arial" w:cs="Arial" w:eastAsia="Arial" w:hAnsi="Arial"/>
          <w:sz w:val="21"/>
          <w:szCs w:val="21"/>
          <w:color w:val="auto"/>
        </w:rPr>
        <w:t>”), and Texas Capital Bank, N.A. (“</w:t>
      </w:r>
      <w:r>
        <w:rPr>
          <w:rFonts w:ascii="Arial" w:cs="Arial" w:eastAsia="Arial" w:hAnsi="Arial"/>
          <w:sz w:val="21"/>
          <w:szCs w:val="21"/>
          <w:i w:val="1"/>
          <w:iCs w:val="1"/>
          <w:color w:val="auto"/>
        </w:rPr>
        <w:t>TCB</w:t>
      </w:r>
      <w:r>
        <w:rPr>
          <w:rFonts w:ascii="Arial" w:cs="Arial" w:eastAsia="Arial" w:hAnsi="Arial"/>
          <w:sz w:val="21"/>
          <w:szCs w:val="21"/>
          <w:color w:val="auto"/>
        </w:rPr>
        <w:t>”) shall be designated as, and perform the roles associated with, a joint lead arranger and bookrunner;</w:t>
      </w:r>
    </w:p>
    <w:p>
      <w:pPr>
        <w:spacing w:after="0" w:line="392" w:lineRule="exact"/>
        <w:rPr>
          <w:sz w:val="20"/>
          <w:szCs w:val="20"/>
          <w:color w:val="auto"/>
        </w:rPr>
      </w:pPr>
    </w:p>
    <w:p>
      <w:pPr>
        <w:ind w:right="20" w:firstLine="1305"/>
        <w:spacing w:after="0" w:line="263" w:lineRule="auto"/>
        <w:tabs>
          <w:tab w:leader="none" w:pos="1821"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of Barclays, Citi, CS Securities, DBSI, GSLP, ICBC, JPMCB, ML, and MS shall be designated as, and perform the roles associated with, a syndication agent; and</w:t>
      </w:r>
    </w:p>
    <w:p>
      <w:pPr>
        <w:spacing w:after="0" w:line="390" w:lineRule="exact"/>
        <w:rPr>
          <w:rFonts w:ascii="Arial" w:cs="Arial" w:eastAsia="Arial" w:hAnsi="Arial"/>
          <w:sz w:val="22"/>
          <w:szCs w:val="22"/>
          <w:color w:val="auto"/>
        </w:rPr>
      </w:pPr>
    </w:p>
    <w:p>
      <w:pPr>
        <w:ind w:right="20" w:firstLine="1305"/>
        <w:spacing w:after="0" w:line="263" w:lineRule="auto"/>
        <w:tabs>
          <w:tab w:leader="none" w:pos="1822"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of BNP Securities, CA-CIB, SCB, SMBC, US Bank, and TCB shall be designated as, and perform the roles associated with, a documentation agent.</w:t>
      </w:r>
    </w:p>
    <w:p>
      <w:pPr>
        <w:spacing w:after="0" w:line="175" w:lineRule="exact"/>
        <w:rPr>
          <w:sz w:val="20"/>
          <w:szCs w:val="20"/>
          <w:color w:val="auto"/>
        </w:rPr>
      </w:pPr>
    </w:p>
    <w:p>
      <w:pPr>
        <w:ind w:right="280" w:firstLine="1297"/>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The provisions of Sections One and Two of this Second Amendment shall become effective on the date (the “</w:t>
      </w:r>
      <w:r>
        <w:rPr>
          <w:rFonts w:ascii="Arial" w:cs="Arial" w:eastAsia="Arial" w:hAnsi="Arial"/>
          <w:sz w:val="22"/>
          <w:szCs w:val="22"/>
          <w:i w:val="1"/>
          <w:iCs w:val="1"/>
          <w:color w:val="auto"/>
        </w:rPr>
        <w:t>Second Amendment Effective Date</w:t>
      </w:r>
      <w:r>
        <w:rPr>
          <w:rFonts w:ascii="Arial" w:cs="Arial" w:eastAsia="Arial" w:hAnsi="Arial"/>
          <w:sz w:val="22"/>
          <w:szCs w:val="22"/>
          <w:color w:val="auto"/>
        </w:rPr>
        <w:t>”) when each of the following conditions specified below shall have been satisfied:</w:t>
      </w:r>
    </w:p>
    <w:p>
      <w:pPr>
        <w:spacing w:after="0" w:line="186" w:lineRule="exact"/>
        <w:rPr>
          <w:sz w:val="20"/>
          <w:szCs w:val="20"/>
          <w:color w:val="auto"/>
        </w:rPr>
      </w:pPr>
    </w:p>
    <w:p>
      <w:pPr>
        <w:jc w:val="both"/>
        <w:ind w:firstLine="1305"/>
        <w:spacing w:after="0" w:line="260" w:lineRule="auto"/>
        <w:tabs>
          <w:tab w:leader="none" w:pos="177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Borrower, the Guarantor, the Administrative Agent, and each New Revolving Lender shall have signed a counterpart hereof (whether the same or different counterparts) and shall have delivered the same to Milbank, Tweed, Hadley &amp; McCloy LLP, 28 Liberty Street, New York, NY 10005, attention: Dylan Scher;</w:t>
      </w:r>
    </w:p>
    <w:p>
      <w:pPr>
        <w:spacing w:after="0" w:line="393" w:lineRule="exact"/>
        <w:rPr>
          <w:rFonts w:ascii="Arial" w:cs="Arial" w:eastAsia="Arial" w:hAnsi="Arial"/>
          <w:sz w:val="22"/>
          <w:szCs w:val="22"/>
          <w:color w:val="auto"/>
        </w:rPr>
      </w:pPr>
    </w:p>
    <w:p>
      <w:pPr>
        <w:jc w:val="both"/>
        <w:ind w:firstLine="1305"/>
        <w:spacing w:after="0" w:line="266" w:lineRule="auto"/>
        <w:tabs>
          <w:tab w:leader="none" w:pos="1850" w:val="left"/>
        </w:tabs>
        <w:numPr>
          <w:ilvl w:val="0"/>
          <w:numId w:val="52"/>
        </w:numPr>
        <w:rPr>
          <w:rFonts w:ascii="Arial" w:cs="Arial" w:eastAsia="Arial" w:hAnsi="Arial"/>
          <w:sz w:val="21"/>
          <w:szCs w:val="21"/>
          <w:color w:val="auto"/>
        </w:rPr>
      </w:pPr>
      <w:r>
        <w:rPr>
          <w:rFonts w:ascii="Arial" w:cs="Arial" w:eastAsia="Arial" w:hAnsi="Arial"/>
          <w:sz w:val="21"/>
          <w:szCs w:val="21"/>
          <w:color w:val="auto"/>
        </w:rPr>
        <w:t>all reasonable invoiced out-of-pocket expenses incurred by the Revolving Lenders and the Administrative Agent pursuant to Section 10.04 of the Credit Agreement (including the reasonable and documented fees, charges and disbursements of counsel) and all accrued and unpaid fees, owing and payable (including any fees agreed to in connection with this Second Amendment) shall have been paid to the extent invoiced at least two (2) Business Days prior to the Second Amendment Effective Date (or such shorter period as may be agreed by the Borrower);</w:t>
      </w:r>
    </w:p>
    <w:p>
      <w:pPr>
        <w:spacing w:after="0" w:line="390" w:lineRule="exact"/>
        <w:rPr>
          <w:rFonts w:ascii="Arial" w:cs="Arial" w:eastAsia="Arial" w:hAnsi="Arial"/>
          <w:sz w:val="21"/>
          <w:szCs w:val="21"/>
          <w:color w:val="auto"/>
        </w:rPr>
      </w:pPr>
    </w:p>
    <w:p>
      <w:pPr>
        <w:jc w:val="both"/>
        <w:ind w:firstLine="1305"/>
        <w:spacing w:after="0" w:line="260" w:lineRule="auto"/>
        <w:tabs>
          <w:tab w:leader="none" w:pos="171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Borrower shall have paid (or caused to be paid), for the account of each New Revolving Lender, a one time, non-refundable fee equal to the amount set forth in that certain Revolving Lenders’ fee letter, among the Revolving Lenders and the Borrower, dated as of the Second Amendment Effective Date;</w:t>
      </w:r>
    </w:p>
    <w:p>
      <w:pPr>
        <w:spacing w:after="0" w:line="393" w:lineRule="exact"/>
        <w:rPr>
          <w:rFonts w:ascii="Arial" w:cs="Arial" w:eastAsia="Arial" w:hAnsi="Arial"/>
          <w:sz w:val="22"/>
          <w:szCs w:val="22"/>
          <w:color w:val="auto"/>
        </w:rPr>
      </w:pPr>
    </w:p>
    <w:p>
      <w:pPr>
        <w:ind w:firstLine="1305"/>
        <w:spacing w:after="0" w:line="276" w:lineRule="auto"/>
        <w:tabs>
          <w:tab w:leader="none" w:pos="1783"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Administrative Agent shall have received an Officer’s Certificate certifying as to the Collateral Coverage Ratio and Liquidity in accordance with Section 2.27(b)(iii) of the Credit Agreement;</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57"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Parent, the Borrower and the Guarantor addressed to the Administrative Agent and the New Revolving Lenders party hereto, and dated the Second Amendment Effective Date;</w:t>
      </w:r>
    </w:p>
    <w:p>
      <w:pPr>
        <w:spacing w:after="0" w:line="393" w:lineRule="exact"/>
        <w:rPr>
          <w:rFonts w:ascii="Arial" w:cs="Arial" w:eastAsia="Arial" w:hAnsi="Arial"/>
          <w:sz w:val="22"/>
          <w:szCs w:val="22"/>
          <w:color w:val="auto"/>
        </w:rPr>
      </w:pPr>
    </w:p>
    <w:p>
      <w:pPr>
        <w:ind w:firstLine="1305"/>
        <w:spacing w:after="0" w:line="276" w:lineRule="auto"/>
        <w:tabs>
          <w:tab w:leader="none" w:pos="174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conditions to the establishment of the New Revolving Commitments pursuant to this Second Amendment set forth in Section 2.27(b)(i) and (ii) of the Credit Agreement shall have been satisfied;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87" w:name="page88"/>
    <w:bookmarkEnd w:id="87"/>
    <w:p>
      <w:pPr>
        <w:jc w:val="both"/>
        <w:ind w:firstLine="1305"/>
        <w:spacing w:after="0" w:line="259" w:lineRule="auto"/>
        <w:tabs>
          <w:tab w:leader="none" w:pos="1796"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of the Secretary or Assistant Secretary (or similar Responsible Officer), dated the Second Amendment Effective Date (i) certifying as to the incumbency and specimen signature of each Responsible Officer of the Borrower and the Guarantor executing this Second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1"/>
          <w:szCs w:val="21"/>
          <w:u w:val="single" w:color="auto"/>
          <w:color w:val="auto"/>
        </w:rPr>
        <w:t>clause (g)</w:t>
      </w:r>
      <w:r>
        <w:rPr>
          <w:rFonts w:ascii="Arial" w:cs="Arial" w:eastAsia="Arial" w:hAnsi="Arial"/>
          <w:sz w:val="21"/>
          <w:szCs w:val="21"/>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Second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jc w:val="both"/>
        <w:ind w:firstLine="1305"/>
        <w:spacing w:after="0" w:line="300" w:lineRule="auto"/>
        <w:tabs>
          <w:tab w:leader="none" w:pos="1742"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evidence that the Third Amendment to that certain Amended and Restated Credit and Guaranty Agreement dated the date hereof, among, </w:t>
      </w:r>
      <w:r>
        <w:rPr>
          <w:rFonts w:ascii="Arial" w:cs="Arial" w:eastAsia="Arial" w:hAnsi="Arial"/>
          <w:sz w:val="19"/>
          <w:szCs w:val="19"/>
          <w:i w:val="1"/>
          <w:iCs w:val="1"/>
          <w:color w:val="auto"/>
        </w:rPr>
        <w:t>inter alios</w:t>
      </w:r>
      <w:r>
        <w:rPr>
          <w:rFonts w:ascii="Arial" w:cs="Arial" w:eastAsia="Arial" w:hAnsi="Arial"/>
          <w:sz w:val="19"/>
          <w:szCs w:val="19"/>
          <w:color w:val="auto"/>
        </w:rPr>
        <w:t xml:space="preserve">, the Borrower and Deutsche Bank AG New York Branch as administrative agent and the Fourth Amendment to that certain Amended and Restated Credit and Guaranty Agreement, dated as of the date hereof, among, </w:t>
      </w:r>
      <w:r>
        <w:rPr>
          <w:rFonts w:ascii="Arial" w:cs="Arial" w:eastAsia="Arial" w:hAnsi="Arial"/>
          <w:sz w:val="19"/>
          <w:szCs w:val="19"/>
          <w:i w:val="1"/>
          <w:iCs w:val="1"/>
          <w:color w:val="auto"/>
        </w:rPr>
        <w:t>inter alios</w:t>
      </w:r>
      <w:r>
        <w:rPr>
          <w:rFonts w:ascii="Arial" w:cs="Arial" w:eastAsia="Arial" w:hAnsi="Arial"/>
          <w:sz w:val="19"/>
          <w:szCs w:val="19"/>
          <w:color w:val="auto"/>
        </w:rPr>
        <w:t>, the Borrower and Citibank N.A. as administrative agent have, or will contemporaneously with the Second Amendment Effective Date, become effective; and</w:t>
      </w:r>
    </w:p>
    <w:p>
      <w:pPr>
        <w:spacing w:after="0" w:line="363" w:lineRule="exact"/>
        <w:rPr>
          <w:rFonts w:ascii="Arial" w:cs="Arial" w:eastAsia="Arial" w:hAnsi="Arial"/>
          <w:sz w:val="19"/>
          <w:szCs w:val="19"/>
          <w:color w:val="auto"/>
        </w:rPr>
      </w:pPr>
    </w:p>
    <w:p>
      <w:pPr>
        <w:jc w:val="both"/>
        <w:ind w:firstLine="1305"/>
        <w:spacing w:after="0" w:line="287" w:lineRule="auto"/>
        <w:tabs>
          <w:tab w:leader="none" w:pos="1775"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clause (i)</w:t>
      </w:r>
      <w:r>
        <w:rPr>
          <w:rFonts w:ascii="Arial" w:cs="Arial" w:eastAsia="Arial" w:hAnsi="Arial"/>
          <w:sz w:val="19"/>
          <w:szCs w:val="19"/>
          <w:color w:val="auto"/>
        </w:rPr>
        <w:t>,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 and (B) as to the absence of any event occurring and continuing, or resulting from this Second Amendment on, the Second Amendment Effective Date, that constitutes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88" w:name="page89"/>
    <w:bookmarkEnd w:id="88"/>
    <w:p>
      <w:pPr>
        <w:ind w:right="40" w:firstLine="1297"/>
        <w:spacing w:after="0" w:line="285" w:lineRule="auto"/>
        <w:rPr>
          <w:sz w:val="20"/>
          <w:szCs w:val="20"/>
          <w:color w:val="auto"/>
        </w:rPr>
      </w:pPr>
      <w:r>
        <w:rPr>
          <w:rFonts w:ascii="Arial" w:cs="Arial" w:eastAsia="Arial" w:hAnsi="Arial"/>
          <w:sz w:val="19"/>
          <w:szCs w:val="19"/>
          <w:u w:val="single" w:color="auto"/>
          <w:color w:val="auto"/>
        </w:rPr>
        <w:t>SECTION FIVE - No Default; Representations and Warranties</w:t>
      </w:r>
      <w:r>
        <w:rPr>
          <w:rFonts w:ascii="Arial" w:cs="Arial" w:eastAsia="Arial" w:hAnsi="Arial"/>
          <w:sz w:val="19"/>
          <w:szCs w:val="19"/>
          <w:color w:val="auto"/>
        </w:rPr>
        <w:t xml:space="preserve">. In order to induce the Revolving Lenders and the Administrative Agent to enter into this Second Amendment, the Borrower represents and warrants to each of the Revolving Lenders and the Administrative Agent that, on and as of the date hereof after giving effect to this Second Amendment, (i) no Default or Event of Default has occurred and is continuing or would result from giving effect to this Second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Five,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w:t>
      </w:r>
    </w:p>
    <w:p>
      <w:pPr>
        <w:spacing w:after="0" w:line="200" w:lineRule="exact"/>
        <w:rPr>
          <w:sz w:val="20"/>
          <w:szCs w:val="20"/>
          <w:color w:val="auto"/>
        </w:rPr>
      </w:pPr>
    </w:p>
    <w:p>
      <w:pPr>
        <w:spacing w:after="0" w:line="265" w:lineRule="exact"/>
        <w:rPr>
          <w:sz w:val="20"/>
          <w:szCs w:val="20"/>
          <w:color w:val="auto"/>
        </w:rPr>
      </w:pPr>
    </w:p>
    <w:p>
      <w:pPr>
        <w:ind w:firstLine="1297"/>
        <w:spacing w:after="0" w:line="285" w:lineRule="auto"/>
        <w:rPr>
          <w:sz w:val="20"/>
          <w:szCs w:val="20"/>
          <w:color w:val="auto"/>
        </w:rPr>
      </w:pPr>
      <w:r>
        <w:rPr>
          <w:rFonts w:ascii="Arial" w:cs="Arial" w:eastAsia="Arial" w:hAnsi="Arial"/>
          <w:sz w:val="19"/>
          <w:szCs w:val="19"/>
          <w:u w:val="single" w:color="auto"/>
          <w:color w:val="auto"/>
        </w:rPr>
        <w:t>SECTION SIX - Confirmation</w:t>
      </w:r>
      <w:r>
        <w:rPr>
          <w:rFonts w:ascii="Arial" w:cs="Arial" w:eastAsia="Arial" w:hAnsi="Arial"/>
          <w:sz w:val="19"/>
          <w:szCs w:val="19"/>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increased pursuant to this Second Amendment) and all obligations of the Guarantor with respect of the guarantee of such obligations, respectively, and</w:t>
      </w:r>
    </w:p>
    <w:p>
      <w:pPr>
        <w:spacing w:after="0" w:line="4" w:lineRule="exact"/>
        <w:rPr>
          <w:sz w:val="20"/>
          <w:szCs w:val="20"/>
          <w:color w:val="auto"/>
        </w:rPr>
      </w:pPr>
    </w:p>
    <w:p>
      <w:pPr>
        <w:ind w:right="620" w:firstLine="8"/>
        <w:spacing w:after="0" w:line="246" w:lineRule="auto"/>
        <w:tabs>
          <w:tab w:leader="none" w:pos="318"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reaffirm the grant of Liens on the Collateral to secure the Obligations (as extended and increased pursuant to this Second Amendment) pursuant to the Collateral Documents.</w:t>
      </w:r>
    </w:p>
    <w:p>
      <w:pPr>
        <w:spacing w:after="0" w:line="193" w:lineRule="exact"/>
        <w:rPr>
          <w:sz w:val="20"/>
          <w:szCs w:val="20"/>
          <w:color w:val="auto"/>
        </w:rPr>
      </w:pPr>
    </w:p>
    <w:p>
      <w:pPr>
        <w:ind w:right="100" w:firstLine="1297"/>
        <w:spacing w:after="0" w:line="259" w:lineRule="auto"/>
        <w:rPr>
          <w:sz w:val="20"/>
          <w:szCs w:val="20"/>
          <w:color w:val="auto"/>
        </w:rPr>
      </w:pPr>
      <w:r>
        <w:rPr>
          <w:rFonts w:ascii="Arial" w:cs="Arial" w:eastAsia="Arial" w:hAnsi="Arial"/>
          <w:sz w:val="21"/>
          <w:szCs w:val="21"/>
          <w:u w:val="single" w:color="auto"/>
          <w:color w:val="auto"/>
        </w:rPr>
        <w:t>SECTION SEVEN - Reference to and Effect on the Credit Agreement</w:t>
      </w:r>
      <w:r>
        <w:rPr>
          <w:rFonts w:ascii="Arial" w:cs="Arial" w:eastAsia="Arial" w:hAnsi="Arial"/>
          <w:sz w:val="21"/>
          <w:szCs w:val="21"/>
          <w:color w:val="auto"/>
        </w:rPr>
        <w:t>. On and after the Second Amendment Effective Date, each reference in the Credit Agreement to “this Agreement,” “hereunder,” “hereof” or words of like import referring to the Credit Agreement, shall mean and be a reference to the Credit Agreement as amended by this Second Amendment. The Credit Agreement and each of the other Loan Documents, as specifically amended by this Second Amendment, are and shall continue to be in full force and effect and are hereby in all respects ratified and confirmed. This Second Amendment shall be deemed to be a “Loan Document” for all purposes of the Credit Agreement (as amended hereby) and the other Loan Documents. The execution, delivery and effectiveness of this Second Amendment shall not, except as expressly provided herein, operate as an amendment or waiver of any right, power 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374" w:right="259" w:bottom="1440" w:gutter="0" w:footer="0" w:header="0"/>
        </w:sectPr>
      </w:pPr>
    </w:p>
    <w:bookmarkStart w:id="89" w:name="page90"/>
    <w:bookmarkEnd w:id="89"/>
    <w:p>
      <w:pPr>
        <w:ind w:right="120"/>
        <w:spacing w:after="0" w:line="263" w:lineRule="auto"/>
        <w:rPr>
          <w:sz w:val="20"/>
          <w:szCs w:val="20"/>
          <w:color w:val="auto"/>
        </w:rPr>
      </w:pPr>
      <w:r>
        <w:rPr>
          <w:rFonts w:ascii="Arial" w:cs="Arial" w:eastAsia="Arial" w:hAnsi="Arial"/>
          <w:sz w:val="22"/>
          <w:szCs w:val="22"/>
          <w:color w:val="auto"/>
        </w:rPr>
        <w:t>remedy of any Lender or any Agent under any of the Loan Documents, nor constitute an amendment or waiver of any provision of any of the Loan Documents.</w:t>
      </w:r>
    </w:p>
    <w:p>
      <w:pPr>
        <w:spacing w:after="0" w:line="215" w:lineRule="exact"/>
        <w:rPr>
          <w:sz w:val="20"/>
          <w:szCs w:val="20"/>
          <w:color w:val="auto"/>
        </w:rPr>
      </w:pPr>
    </w:p>
    <w:p>
      <w:pPr>
        <w:ind w:right="180" w:firstLine="1297"/>
        <w:spacing w:after="0" w:line="297" w:lineRule="auto"/>
        <w:rPr>
          <w:sz w:val="20"/>
          <w:szCs w:val="20"/>
          <w:color w:val="auto"/>
        </w:rPr>
      </w:pPr>
      <w:r>
        <w:rPr>
          <w:rFonts w:ascii="Arial" w:cs="Arial" w:eastAsia="Arial" w:hAnsi="Arial"/>
          <w:sz w:val="19"/>
          <w:szCs w:val="19"/>
          <w:u w:val="single" w:color="auto"/>
          <w:color w:val="auto"/>
        </w:rPr>
        <w:t>SECTION EIGHT - Execution in Counterparts</w:t>
      </w:r>
      <w:r>
        <w:rPr>
          <w:rFonts w:ascii="Arial" w:cs="Arial" w:eastAsia="Arial" w:hAnsi="Arial"/>
          <w:sz w:val="19"/>
          <w:szCs w:val="19"/>
          <w:color w:val="auto"/>
        </w:rPr>
        <w:t>. This Second Amendment may be executed in counterparts (and by different parties hereto on different counterparts), each of which shall constitute an original, but all of which when taken together shall constitute a single contract. This Second Amendment shall be binding upon and inure to the benefit of the parties hereto and their respective successors and assigns. Delivery of an executed counterpart of a signature page of this Second Amendment by facsimile or electronic .pdf copy shall be effective as delivery of a manually executed counterpart of this Second Amendment.</w:t>
      </w:r>
    </w:p>
    <w:p>
      <w:pPr>
        <w:spacing w:after="0" w:line="147"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THIS SECOND AMENDMENT AND THE RIGHTS AND OBLIGATIONS OF THE PARTIES UNDER THIS SECOND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0" w:lineRule="auto"/>
        <w:tabs>
          <w:tab w:leader="none" w:pos="1765"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Second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90" w:name="page91"/>
    <w:bookmarkEnd w:id="90"/>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Second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Second Amendment to Credit and Guaranty Agreement (Spare Parts)</w:t>
      </w:r>
    </w:p>
    <w:p>
      <w:pPr>
        <w:sectPr>
          <w:pgSz w:w="11900" w:h="16838" w:orient="portrait"/>
          <w:cols w:equalWidth="0" w:num="1">
            <w:col w:w="11420"/>
          </w:cols>
          <w:pgMar w:left="240" w:top="591" w:right="239" w:bottom="1440" w:gutter="0" w:footer="0" w:header="0"/>
        </w:sectPr>
      </w:pPr>
    </w:p>
    <w:bookmarkStart w:id="91" w:name="page92"/>
    <w:bookmarkEnd w:id="91"/>
    <w:p>
      <w:pPr>
        <w:ind w:left="2700"/>
        <w:spacing w:after="0"/>
        <w:rPr>
          <w:sz w:val="20"/>
          <w:szCs w:val="20"/>
          <w:color w:val="auto"/>
        </w:rPr>
      </w:pPr>
      <w:r>
        <w:rPr>
          <w:rFonts w:ascii="Arial" w:cs="Arial" w:eastAsia="Arial" w:hAnsi="Arial"/>
          <w:sz w:val="22"/>
          <w:szCs w:val="22"/>
          <w:color w:val="auto"/>
        </w:rPr>
        <w:t>BARCLAYS BANK PLC,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28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Ritam Bhalla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Second Amendment to Credit and Guaranty Agreement (Spare Parts)</w:t>
      </w:r>
    </w:p>
    <w:p>
      <w:pPr>
        <w:sectPr>
          <w:pgSz w:w="11900" w:h="16838" w:orient="portrait"/>
          <w:cols w:equalWidth="0" w:num="1">
            <w:col w:w="9019"/>
          </w:cols>
          <w:pgMar w:left="1440" w:top="807" w:right="1440" w:bottom="1440" w:gutter="0" w:footer="0" w:header="0"/>
        </w:sectPr>
      </w:pPr>
    </w:p>
    <w:bookmarkStart w:id="92" w:name="page93"/>
    <w:bookmarkEnd w:id="92"/>
    <w:p>
      <w:pPr>
        <w:ind w:left="10440"/>
        <w:spacing w:after="0"/>
        <w:rPr>
          <w:sz w:val="20"/>
          <w:szCs w:val="20"/>
          <w:color w:val="auto"/>
        </w:rPr>
      </w:pPr>
      <w:r>
        <w:rPr>
          <w:rFonts w:ascii="Arial" w:cs="Arial" w:eastAsia="Arial" w:hAnsi="Arial"/>
          <w:sz w:val="18"/>
          <w:szCs w:val="18"/>
          <w:b w:val="1"/>
          <w:bCs w:val="1"/>
          <w:i w:val="1"/>
          <w:i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520" w:type="dxa"/>
            <w:vAlign w:val="bottom"/>
            <w:tcBorders>
              <w:top w:val="single" w:sz="8" w:color="00000A"/>
              <w:left w:val="single" w:sz="8" w:color="00000A"/>
              <w:right w:val="single" w:sz="8" w:color="00000A"/>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Name of Bank</w:t>
            </w:r>
          </w:p>
        </w:tc>
        <w:tc>
          <w:tcPr>
            <w:tcW w:w="296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Revolving Commitment</w:t>
            </w:r>
          </w:p>
        </w:tc>
        <w:tc>
          <w:tcPr>
            <w:tcW w:w="2960" w:type="dxa"/>
            <w:vAlign w:val="bottom"/>
            <w:tcBorders>
              <w:top w:val="single" w:sz="8" w:color="00000A"/>
              <w:right w:val="single" w:sz="8" w:color="00000A"/>
            </w:tcBorders>
            <w:shd w:val="clear" w:color="auto" w:fill="D9D9D9"/>
          </w:tcPr>
          <w:p>
            <w:pPr>
              <w:ind w:left="740"/>
              <w:spacing w:after="0"/>
              <w:rPr>
                <w:sz w:val="20"/>
                <w:szCs w:val="20"/>
                <w:color w:val="auto"/>
              </w:rPr>
            </w:pPr>
            <w:r>
              <w:rPr>
                <w:rFonts w:ascii="Arial" w:cs="Arial" w:eastAsia="Arial" w:hAnsi="Arial"/>
                <w:sz w:val="20"/>
                <w:szCs w:val="20"/>
                <w:b w:val="1"/>
                <w:bCs w:val="1"/>
                <w:color w:val="auto"/>
              </w:rPr>
              <w:t>LC Commitment</w:t>
            </w:r>
          </w:p>
        </w:tc>
      </w:tr>
      <w:tr>
        <w:trPr>
          <w:trHeight w:val="179"/>
        </w:trPr>
        <w:tc>
          <w:tcPr>
            <w:tcW w:w="5520" w:type="dxa"/>
            <w:vAlign w:val="bottom"/>
            <w:tcBorders>
              <w:left w:val="single" w:sz="8" w:color="00000A"/>
              <w:bottom w:val="single" w:sz="8" w:color="00000A"/>
              <w:right w:val="single" w:sz="8" w:color="00000A"/>
            </w:tcBorders>
            <w:shd w:val="clear" w:color="auto" w:fill="D9D9D9"/>
          </w:tcPr>
          <w:p>
            <w:pPr>
              <w:spacing w:after="0"/>
              <w:rPr>
                <w:sz w:val="15"/>
                <w:szCs w:val="15"/>
                <w:color w:val="auto"/>
              </w:rPr>
            </w:pPr>
          </w:p>
        </w:tc>
        <w:tc>
          <w:tcPr>
            <w:tcW w:w="2960" w:type="dxa"/>
            <w:vAlign w:val="bottom"/>
            <w:tcBorders>
              <w:bottom w:val="single" w:sz="8" w:color="00000A"/>
              <w:right w:val="single" w:sz="8" w:color="00000A"/>
            </w:tcBorders>
            <w:shd w:val="clear" w:color="auto" w:fill="D9D9D9"/>
          </w:tcPr>
          <w:p>
            <w:pPr>
              <w:spacing w:after="0"/>
              <w:rPr>
                <w:sz w:val="15"/>
                <w:szCs w:val="15"/>
                <w:color w:val="auto"/>
              </w:rPr>
            </w:pPr>
          </w:p>
        </w:tc>
        <w:tc>
          <w:tcPr>
            <w:tcW w:w="2960" w:type="dxa"/>
            <w:vAlign w:val="bottom"/>
            <w:tcBorders>
              <w:bottom w:val="single" w:sz="8" w:color="00000A"/>
              <w:right w:val="single" w:sz="8" w:color="00000A"/>
            </w:tcBorders>
            <w:shd w:val="clear" w:color="auto" w:fill="D9D9D9"/>
          </w:tcPr>
          <w:p>
            <w:pPr>
              <w:spacing w:after="0"/>
              <w:rPr>
                <w:sz w:val="15"/>
                <w:szCs w:val="15"/>
                <w:color w:val="auto"/>
              </w:rPr>
            </w:pPr>
          </w:p>
        </w:tc>
      </w:tr>
      <w:tr>
        <w:trPr>
          <w:trHeight w:val="284"/>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80"/>
        </w:trPr>
        <w:tc>
          <w:tcPr>
            <w:tcW w:w="5520" w:type="dxa"/>
            <w:vAlign w:val="bottom"/>
            <w:tcBorders>
              <w:left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166"/>
        </w:trPr>
        <w:tc>
          <w:tcPr>
            <w:tcW w:w="5520" w:type="dxa"/>
            <w:vAlign w:val="bottom"/>
            <w:tcBorders>
              <w:left w:val="single" w:sz="8" w:color="00000A"/>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r>
      <w:tr>
        <w:trPr>
          <w:trHeight w:val="274"/>
        </w:trPr>
        <w:tc>
          <w:tcPr>
            <w:tcW w:w="5520" w:type="dxa"/>
            <w:vAlign w:val="bottom"/>
            <w:tcBorders>
              <w:left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166"/>
        </w:trPr>
        <w:tc>
          <w:tcPr>
            <w:tcW w:w="5520" w:type="dxa"/>
            <w:vAlign w:val="bottom"/>
            <w:tcBorders>
              <w:left w:val="single" w:sz="8" w:color="00000A"/>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Total</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$300,000,000</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$0</w:t>
            </w:r>
          </w:p>
        </w:tc>
      </w:tr>
      <w:tr>
        <w:trPr>
          <w:trHeight w:val="179"/>
        </w:trPr>
        <w:tc>
          <w:tcPr>
            <w:tcW w:w="5520" w:type="dxa"/>
            <w:vAlign w:val="bottom"/>
            <w:tcBorders>
              <w:left w:val="single" w:sz="8" w:color="00000A"/>
              <w:bottom w:val="single" w:sz="8" w:color="00000A"/>
              <w:right w:val="single" w:sz="8" w:color="00000A"/>
            </w:tcBorders>
          </w:tcPr>
          <w:p>
            <w:pPr>
              <w:spacing w:after="0"/>
              <w:rPr>
                <w:sz w:val="15"/>
                <w:szCs w:val="15"/>
                <w:color w:val="auto"/>
              </w:rPr>
            </w:pPr>
          </w:p>
        </w:tc>
        <w:tc>
          <w:tcPr>
            <w:tcW w:w="2960" w:type="dxa"/>
            <w:vAlign w:val="bottom"/>
            <w:tcBorders>
              <w:bottom w:val="single" w:sz="8" w:color="00000A"/>
              <w:right w:val="single" w:sz="8" w:color="00000A"/>
            </w:tcBorders>
          </w:tcPr>
          <w:p>
            <w:pPr>
              <w:spacing w:after="0"/>
              <w:rPr>
                <w:sz w:val="15"/>
                <w:szCs w:val="15"/>
                <w:color w:val="auto"/>
              </w:rPr>
            </w:pPr>
          </w:p>
        </w:tc>
        <w:tc>
          <w:tcPr>
            <w:tcW w:w="2960" w:type="dxa"/>
            <w:vAlign w:val="bottom"/>
            <w:tcBorders>
              <w:bottom w:val="single" w:sz="8" w:color="00000A"/>
              <w:right w:val="single" w:sz="8" w:color="00000A"/>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807"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THIRD AMENDMENT TO AMENDED AND RESTATED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THIRD AMENDMENT TO AMENDED AND RESTATED CREDIT AND GUARANTY AGREEMENT (this “</w:t>
      </w:r>
      <w:r>
        <w:rPr>
          <w:rFonts w:ascii="Arial" w:cs="Arial" w:eastAsia="Arial" w:hAnsi="Arial"/>
          <w:sz w:val="21"/>
          <w:szCs w:val="21"/>
          <w:i w:val="1"/>
          <w:iCs w:val="1"/>
          <w:color w:val="auto"/>
        </w:rPr>
        <w:t>Third Amendment</w:t>
      </w:r>
      <w:r>
        <w:rPr>
          <w:rFonts w:ascii="Arial" w:cs="Arial" w:eastAsia="Arial" w:hAnsi="Arial"/>
          <w:sz w:val="21"/>
          <w:szCs w:val="21"/>
          <w:color w:val="auto"/>
        </w:rPr>
        <w:t>”), dated as of August 21, 2017 among American Airlines, Inc., a Delaware corporation (the “</w:t>
      </w:r>
      <w:r>
        <w:rPr>
          <w:rFonts w:ascii="Arial" w:cs="Arial" w:eastAsia="Arial" w:hAnsi="Arial"/>
          <w:sz w:val="21"/>
          <w:szCs w:val="21"/>
          <w:i w:val="1"/>
          <w:iCs w:val="1"/>
          <w:color w:val="auto"/>
        </w:rPr>
        <w:t>Borrower</w:t>
      </w:r>
      <w:r>
        <w:rPr>
          <w:rFonts w:ascii="Arial" w:cs="Arial" w:eastAsia="Arial" w:hAnsi="Arial"/>
          <w:sz w:val="21"/>
          <w:szCs w:val="21"/>
          <w:color w:val="auto"/>
        </w:rPr>
        <w:t>”), American Airlines Group Inc., a Delaware corporation (the “</w:t>
      </w:r>
      <w:r>
        <w:rPr>
          <w:rFonts w:ascii="Arial" w:cs="Arial" w:eastAsia="Arial" w:hAnsi="Arial"/>
          <w:sz w:val="21"/>
          <w:szCs w:val="21"/>
          <w:i w:val="1"/>
          <w:iCs w:val="1"/>
          <w:color w:val="auto"/>
        </w:rPr>
        <w:t>Parent</w:t>
      </w:r>
      <w:r>
        <w:rPr>
          <w:rFonts w:ascii="Arial" w:cs="Arial" w:eastAsia="Arial" w:hAnsi="Arial"/>
          <w:sz w:val="21"/>
          <w:szCs w:val="21"/>
          <w:color w:val="auto"/>
        </w:rPr>
        <w:t>” or the “</w:t>
      </w:r>
      <w:r>
        <w:rPr>
          <w:rFonts w:ascii="Arial" w:cs="Arial" w:eastAsia="Arial" w:hAnsi="Arial"/>
          <w:sz w:val="21"/>
          <w:szCs w:val="21"/>
          <w:i w:val="1"/>
          <w:iCs w:val="1"/>
          <w:color w:val="auto"/>
        </w:rPr>
        <w:t>Guarantor</w:t>
      </w:r>
      <w:r>
        <w:rPr>
          <w:rFonts w:ascii="Arial" w:cs="Arial" w:eastAsia="Arial" w:hAnsi="Arial"/>
          <w:sz w:val="21"/>
          <w:szCs w:val="21"/>
          <w:color w:val="auto"/>
        </w:rPr>
        <w:t>”), the Existing Revolving Lenders (as defined below) party hereto, Standard Chartered Bank (“</w:t>
      </w:r>
      <w:r>
        <w:rPr>
          <w:rFonts w:ascii="Arial" w:cs="Arial" w:eastAsia="Arial" w:hAnsi="Arial"/>
          <w:sz w:val="21"/>
          <w:szCs w:val="21"/>
          <w:i w:val="1"/>
          <w:iCs w:val="1"/>
          <w:color w:val="auto"/>
        </w:rPr>
        <w:t>SCB</w:t>
      </w:r>
      <w:r>
        <w:rPr>
          <w:rFonts w:ascii="Arial" w:cs="Arial" w:eastAsia="Arial" w:hAnsi="Arial"/>
          <w:sz w:val="21"/>
          <w:szCs w:val="21"/>
          <w:color w:val="auto"/>
        </w:rPr>
        <w:t>”), Sumitomo Mitsui Banking Corporation (“</w:t>
      </w:r>
      <w:r>
        <w:rPr>
          <w:rFonts w:ascii="Arial" w:cs="Arial" w:eastAsia="Arial" w:hAnsi="Arial"/>
          <w:sz w:val="21"/>
          <w:szCs w:val="21"/>
          <w:i w:val="1"/>
          <w:iCs w:val="1"/>
          <w:color w:val="auto"/>
        </w:rPr>
        <w:t>SMBC</w:t>
      </w:r>
      <w:r>
        <w:rPr>
          <w:rFonts w:ascii="Arial" w:cs="Arial" w:eastAsia="Arial" w:hAnsi="Arial"/>
          <w:sz w:val="21"/>
          <w:szCs w:val="21"/>
          <w:color w:val="auto"/>
        </w:rPr>
        <w:t>”), Texas Capital Bank, N.A. (“</w:t>
      </w:r>
      <w:r>
        <w:rPr>
          <w:rFonts w:ascii="Arial" w:cs="Arial" w:eastAsia="Arial" w:hAnsi="Arial"/>
          <w:sz w:val="21"/>
          <w:szCs w:val="21"/>
          <w:i w:val="1"/>
          <w:iCs w:val="1"/>
          <w:color w:val="auto"/>
        </w:rPr>
        <w:t>TCB</w:t>
      </w:r>
      <w:r>
        <w:rPr>
          <w:rFonts w:ascii="Arial" w:cs="Arial" w:eastAsia="Arial" w:hAnsi="Arial"/>
          <w:sz w:val="21"/>
          <w:szCs w:val="21"/>
          <w:color w:val="auto"/>
        </w:rPr>
        <w:t>” and together with SMBC and SCB, the “</w:t>
      </w:r>
      <w:r>
        <w:rPr>
          <w:rFonts w:ascii="Arial" w:cs="Arial" w:eastAsia="Arial" w:hAnsi="Arial"/>
          <w:sz w:val="21"/>
          <w:szCs w:val="21"/>
          <w:i w:val="1"/>
          <w:iCs w:val="1"/>
          <w:color w:val="auto"/>
        </w:rPr>
        <w:t>New Revolving Lenders</w:t>
      </w:r>
      <w:r>
        <w:rPr>
          <w:rFonts w:ascii="Arial" w:cs="Arial" w:eastAsia="Arial" w:hAnsi="Arial"/>
          <w:sz w:val="21"/>
          <w:szCs w:val="21"/>
          <w:color w:val="auto"/>
        </w:rPr>
        <w:t>”) and Deutsche Bank AG New York Branch, as administrative agent (in such capacity,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xml:space="preserve">”) and as an issuing lender (in such capacity, an </w:t>
      </w:r>
      <w:r>
        <w:rPr>
          <w:rFonts w:ascii="Arial" w:cs="Arial" w:eastAsia="Arial" w:hAnsi="Arial"/>
          <w:sz w:val="21"/>
          <w:szCs w:val="21"/>
          <w:i w:val="1"/>
          <w:iCs w:val="1"/>
          <w:color w:val="auto"/>
        </w:rPr>
        <w:t>“Issuing</w:t>
      </w:r>
      <w:r>
        <w:rPr>
          <w:rFonts w:ascii="Arial" w:cs="Arial" w:eastAsia="Arial" w:hAnsi="Arial"/>
          <w:sz w:val="21"/>
          <w:szCs w:val="21"/>
          <w:color w:val="auto"/>
        </w:rPr>
        <w:t xml:space="preserve"> </w:t>
      </w:r>
      <w:r>
        <w:rPr>
          <w:rFonts w:ascii="Arial" w:cs="Arial" w:eastAsia="Arial" w:hAnsi="Arial"/>
          <w:sz w:val="21"/>
          <w:szCs w:val="21"/>
          <w:i w:val="1"/>
          <w:iCs w:val="1"/>
          <w:color w:val="auto"/>
        </w:rPr>
        <w:t>Lender</w:t>
      </w:r>
      <w:r>
        <w:rPr>
          <w:rFonts w:ascii="Arial" w:cs="Arial" w:eastAsia="Arial" w:hAnsi="Arial"/>
          <w:sz w:val="21"/>
          <w:szCs w:val="21"/>
          <w:color w:val="auto"/>
        </w:rPr>
        <w:t>”). Unless otherwise indicated, all capitalized terms used herein and not otherwise defined shall have the respective</w:t>
      </w:r>
      <w:r>
        <w:rPr>
          <w:rFonts w:ascii="Arial" w:cs="Arial" w:eastAsia="Arial" w:hAnsi="Arial"/>
          <w:sz w:val="21"/>
          <w:szCs w:val="21"/>
          <w:i w:val="1"/>
          <w:iCs w:val="1"/>
          <w:color w:val="auto"/>
        </w:rPr>
        <w:t xml:space="preserve"> </w:t>
      </w:r>
      <w:r>
        <w:rPr>
          <w:rFonts w:ascii="Arial" w:cs="Arial" w:eastAsia="Arial" w:hAnsi="Arial"/>
          <w:sz w:val="21"/>
          <w:szCs w:val="21"/>
          <w:color w:val="auto"/>
        </w:rPr>
        <w:t>meanings provided such terms in the Credit Agreement referred to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WHEREAS, the Borrower, the Guarantor, the lenders from time to time party thereto, the Administrative Agent and certain other parties thereto are parties to that certain Amended and Restated Credit and Guaranty Agreement, dated as of May 21, 2015 (as amended by that First Amendment to Amended and Restated Credit and Guaranty Agreement, dated October 26, 2015, as further amended by that Second Amendment to Amended and Restated Credit and Guaranty Agreement, dated March 14, 2017 and as further amended and restated, supplemented or otherwise modified to but not including the Third Amendment Effective Date as defined below, the “</w:t>
      </w:r>
      <w:r>
        <w:rPr>
          <w:rFonts w:ascii="Arial" w:cs="Arial" w:eastAsia="Arial" w:hAnsi="Arial"/>
          <w:sz w:val="21"/>
          <w:szCs w:val="21"/>
          <w:i w:val="1"/>
          <w:iCs w:val="1"/>
          <w:color w:val="auto"/>
        </w:rPr>
        <w:t>Credit Agreement</w:t>
      </w:r>
      <w:r>
        <w:rPr>
          <w:rFonts w:ascii="Arial" w:cs="Arial" w:eastAsia="Arial" w:hAnsi="Arial"/>
          <w:sz w:val="21"/>
          <w:szCs w:val="21"/>
          <w:color w:val="auto"/>
        </w:rPr>
        <w:t>”);</w:t>
      </w:r>
    </w:p>
    <w:p>
      <w:pPr>
        <w:spacing w:after="0" w:line="39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8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WHEREAS, the Borrower hereby (i) requests that each Revolving Lender that is a party to the Credit Agreement immediately prior to the Third Amendment Effective Date (each, an “</w:t>
      </w:r>
      <w:r>
        <w:rPr>
          <w:rFonts w:ascii="Arial" w:cs="Arial" w:eastAsia="Arial" w:hAnsi="Arial"/>
          <w:sz w:val="19"/>
          <w:szCs w:val="19"/>
          <w:i w:val="1"/>
          <w:iCs w:val="1"/>
          <w:color w:val="auto"/>
        </w:rPr>
        <w:t>Existing Revolving Lender</w:t>
      </w:r>
      <w:r>
        <w:rPr>
          <w:rFonts w:ascii="Arial" w:cs="Arial" w:eastAsia="Arial" w:hAnsi="Arial"/>
          <w:sz w:val="19"/>
          <w:szCs w:val="19"/>
          <w:color w:val="auto"/>
        </w:rPr>
        <w:t>”) extend the maturity of such Existing Revolving Lender’s Revolving Commitment pursuant to, and in accordance with the terms of, Section 2.28(b), (c), (d) and</w:t>
      </w:r>
    </w:p>
    <w:p>
      <w:pPr>
        <w:spacing w:after="0" w:line="1" w:lineRule="exact"/>
        <w:rPr>
          <w:sz w:val="20"/>
          <w:szCs w:val="20"/>
          <w:color w:val="auto"/>
        </w:rPr>
      </w:pPr>
    </w:p>
    <w:p>
      <w:pPr>
        <w:jc w:val="both"/>
        <w:ind w:firstLine="8"/>
        <w:spacing w:after="0" w:line="244" w:lineRule="auto"/>
        <w:tabs>
          <w:tab w:leader="none" w:pos="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of the Credit Agreement and this Third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sectPr>
      </w:pPr>
    </w:p>
    <w:bookmarkStart w:id="94" w:name="page95"/>
    <w:bookmarkEnd w:id="94"/>
    <w:p>
      <w:pPr>
        <w:jc w:val="both"/>
        <w:ind w:right="20" w:firstLine="1297"/>
        <w:spacing w:after="0" w:line="253" w:lineRule="auto"/>
        <w:rPr>
          <w:sz w:val="20"/>
          <w:szCs w:val="20"/>
          <w:color w:val="auto"/>
        </w:rPr>
      </w:pPr>
      <w:r>
        <w:rPr>
          <w:rFonts w:ascii="Arial" w:cs="Arial" w:eastAsia="Arial" w:hAnsi="Arial"/>
          <w:sz w:val="22"/>
          <w:szCs w:val="22"/>
          <w:color w:val="auto"/>
        </w:rPr>
        <w:t>WHEREAS, the Existing Revolving Lenders are willing to extend the maturity date of their respective Revolving Commitments, subject to and on the terms and conditions set forth herein and in Section 2.28(b), (c), (d) and (e) of the Credit Agreement;</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WHEREAS, the undersigned Existing Revolving Lenders and New Revolving Lenders desire to reallocate the Revolving Commitments among themselves (the “</w:t>
      </w:r>
      <w:r>
        <w:rPr>
          <w:rFonts w:ascii="Arial" w:cs="Arial" w:eastAsia="Arial" w:hAnsi="Arial"/>
          <w:sz w:val="22"/>
          <w:szCs w:val="22"/>
          <w:i w:val="1"/>
          <w:iCs w:val="1"/>
          <w:color w:val="auto"/>
        </w:rPr>
        <w:t>Reallocation</w:t>
      </w:r>
      <w:r>
        <w:rPr>
          <w:rFonts w:ascii="Arial" w:cs="Arial" w:eastAsia="Arial" w:hAnsi="Arial"/>
          <w:sz w:val="22"/>
          <w:szCs w:val="22"/>
          <w:color w:val="auto"/>
        </w:rPr>
        <w:t>”) and that each Revolving Lender will hold such Revolving Commitment as is set out opposite its name on Schedule 1;</w:t>
      </w:r>
    </w:p>
    <w:p>
      <w:pPr>
        <w:spacing w:after="0" w:line="186"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WHEREAS, the Borrower, the Administrative Agent, the undersigned Existing Revolving Lenders and New Revolving Lenders wish to amend the Credit Agreement to provide for certain other modifications to the Credit Agreement, in each case, on the terms and subject to the conditions set forth herein; and</w:t>
      </w:r>
    </w:p>
    <w:p>
      <w:pPr>
        <w:spacing w:after="0" w:line="200" w:lineRule="exact"/>
        <w:rPr>
          <w:sz w:val="20"/>
          <w:szCs w:val="20"/>
          <w:color w:val="auto"/>
        </w:rPr>
      </w:pPr>
    </w:p>
    <w:p>
      <w:pPr>
        <w:spacing w:after="0" w:line="202" w:lineRule="exact"/>
        <w:rPr>
          <w:sz w:val="20"/>
          <w:szCs w:val="20"/>
          <w:color w:val="auto"/>
        </w:rPr>
      </w:pPr>
    </w:p>
    <w:p>
      <w:pPr>
        <w:jc w:val="both"/>
        <w:ind w:right="4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jc w:val="both"/>
        <w:ind w:right="20" w:firstLine="1621"/>
        <w:spacing w:after="0" w:line="261" w:lineRule="auto"/>
        <w:rPr>
          <w:sz w:val="20"/>
          <w:szCs w:val="20"/>
          <w:color w:val="auto"/>
        </w:rPr>
      </w:pPr>
      <w:r>
        <w:rPr>
          <w:rFonts w:ascii="Arial" w:cs="Arial" w:eastAsia="Arial" w:hAnsi="Arial"/>
          <w:sz w:val="21"/>
          <w:szCs w:val="21"/>
          <w:u w:val="single" w:color="auto"/>
          <w:color w:val="auto"/>
        </w:rPr>
        <w:t>SECTION ONE - Reallocation of Revolving Commitments</w:t>
      </w:r>
      <w:r>
        <w:rPr>
          <w:rFonts w:ascii="Arial" w:cs="Arial" w:eastAsia="Arial" w:hAnsi="Arial"/>
          <w:sz w:val="21"/>
          <w:szCs w:val="21"/>
          <w:color w:val="auto"/>
        </w:rPr>
        <w:t>. On the Third Amendment Effective Date, the Borrower, the Existing Revolving Lenders and the New Revolving Lenders agree that (1) there shall be an automatic termination of the total Revolving Commitments in excess of $1,200,000,000; (2) there shall be an automatic adjustment to the Revolving Commitment Percentage of each Revolving Lender in the aggregate LC Exposure (if any) to reflect the new Revolving Commitment Percentage of each Revolving Lender in the aggregate LC Exposure (if any) and (3) each New Revolving Lender shall become a Revolving Lender under the Credit Agreement (as amended hereby).</w:t>
      </w:r>
    </w:p>
    <w:p>
      <w:pPr>
        <w:spacing w:after="0" w:line="396" w:lineRule="exact"/>
        <w:rPr>
          <w:sz w:val="20"/>
          <w:szCs w:val="20"/>
          <w:color w:val="auto"/>
        </w:rPr>
      </w:pPr>
    </w:p>
    <w:p>
      <w:pPr>
        <w:jc w:val="both"/>
        <w:ind w:right="40" w:firstLine="1621"/>
        <w:spacing w:after="0" w:line="287" w:lineRule="auto"/>
        <w:rPr>
          <w:sz w:val="20"/>
          <w:szCs w:val="20"/>
          <w:color w:val="auto"/>
        </w:rPr>
      </w:pPr>
      <w:r>
        <w:rPr>
          <w:rFonts w:ascii="Arial" w:cs="Arial" w:eastAsia="Arial" w:hAnsi="Arial"/>
          <w:sz w:val="21"/>
          <w:szCs w:val="21"/>
          <w:u w:val="single" w:color="auto"/>
          <w:color w:val="auto"/>
        </w:rPr>
        <w:t>SECTION TWO - Extension of Revolving Facility</w:t>
      </w:r>
      <w:r>
        <w:rPr>
          <w:rFonts w:ascii="Arial" w:cs="Arial" w:eastAsia="Arial" w:hAnsi="Arial"/>
          <w:sz w:val="21"/>
          <w:szCs w:val="21"/>
          <w:color w:val="auto"/>
        </w:rPr>
        <w:t>. On the Third Amendment Effective Date (immediately after giving effect to the Reallocation contemplated in Section One), the Credit Agreement is modified as follows:</w:t>
      </w:r>
    </w:p>
    <w:p>
      <w:pPr>
        <w:spacing w:after="0" w:line="368" w:lineRule="exact"/>
        <w:rPr>
          <w:sz w:val="20"/>
          <w:szCs w:val="20"/>
          <w:color w:val="auto"/>
        </w:rPr>
      </w:pPr>
    </w:p>
    <w:p>
      <w:pPr>
        <w:ind w:right="280" w:firstLine="1305"/>
        <w:spacing w:after="0" w:line="276" w:lineRule="auto"/>
        <w:tabs>
          <w:tab w:leader="none" w:pos="171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the rate per annum determined pursuant to the following:</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920" w:type="dxa"/>
            <w:vAlign w:val="bottom"/>
            <w:tcBorders>
              <w:top w:val="single" w:sz="8" w:color="00000A"/>
              <w:left w:val="single" w:sz="8" w:color="00000A"/>
              <w:right w:val="single" w:sz="8" w:color="00000A"/>
            </w:tcBorders>
            <w:vMerge w:val="restart"/>
          </w:tcPr>
          <w:p>
            <w:pPr>
              <w:ind w:left="1320"/>
              <w:spacing w:after="0"/>
              <w:rPr>
                <w:sz w:val="20"/>
                <w:szCs w:val="20"/>
                <w:color w:val="auto"/>
              </w:rPr>
            </w:pPr>
            <w:r>
              <w:rPr>
                <w:rFonts w:ascii="Arial" w:cs="Arial" w:eastAsia="Arial" w:hAnsi="Arial"/>
                <w:sz w:val="22"/>
                <w:szCs w:val="22"/>
                <w:color w:val="auto"/>
              </w:rPr>
              <w:t>Class of Loans</w:t>
            </w:r>
          </w:p>
        </w:tc>
        <w:tc>
          <w:tcPr>
            <w:tcW w:w="3760" w:type="dxa"/>
            <w:vAlign w:val="bottom"/>
            <w:tcBorders>
              <w:top w:val="single" w:sz="8" w:color="00000A"/>
              <w:right w:val="single" w:sz="8" w:color="00000A"/>
            </w:tcBorders>
          </w:tcPr>
          <w:p>
            <w:pPr>
              <w:jc w:val="right"/>
              <w:ind w:right="992"/>
              <w:spacing w:after="0"/>
              <w:rPr>
                <w:sz w:val="20"/>
                <w:szCs w:val="20"/>
                <w:color w:val="auto"/>
              </w:rPr>
            </w:pPr>
            <w:r>
              <w:rPr>
                <w:rFonts w:ascii="Arial" w:cs="Arial" w:eastAsia="Arial" w:hAnsi="Arial"/>
                <w:sz w:val="22"/>
                <w:szCs w:val="22"/>
                <w:color w:val="auto"/>
              </w:rPr>
              <w:t>Applicable Margin</w:t>
            </w:r>
          </w:p>
        </w:tc>
        <w:tc>
          <w:tcPr>
            <w:tcW w:w="3760" w:type="dxa"/>
            <w:vAlign w:val="bottom"/>
            <w:tcBorders>
              <w:top w:val="single" w:sz="8" w:color="00000A"/>
              <w:right w:val="single" w:sz="8" w:color="00000A"/>
            </w:tcBorders>
          </w:tcPr>
          <w:p>
            <w:pPr>
              <w:jc w:val="right"/>
              <w:ind w:right="992"/>
              <w:spacing w:after="0"/>
              <w:rPr>
                <w:sz w:val="20"/>
                <w:szCs w:val="20"/>
                <w:color w:val="auto"/>
              </w:rPr>
            </w:pPr>
            <w:r>
              <w:rPr>
                <w:rFonts w:ascii="Arial" w:cs="Arial" w:eastAsia="Arial" w:hAnsi="Arial"/>
                <w:sz w:val="22"/>
                <w:szCs w:val="22"/>
                <w:color w:val="auto"/>
              </w:rPr>
              <w:t>Applicable Margin</w:t>
            </w:r>
          </w:p>
        </w:tc>
        <w:tc>
          <w:tcPr>
            <w:tcW w:w="0" w:type="dxa"/>
            <w:vAlign w:val="bottom"/>
          </w:tcPr>
          <w:p>
            <w:pPr>
              <w:spacing w:after="0"/>
              <w:rPr>
                <w:sz w:val="1"/>
                <w:szCs w:val="1"/>
                <w:color w:val="auto"/>
              </w:rPr>
            </w:pPr>
          </w:p>
        </w:tc>
      </w:tr>
      <w:tr>
        <w:trPr>
          <w:trHeight w:val="153"/>
        </w:trPr>
        <w:tc>
          <w:tcPr>
            <w:tcW w:w="3920" w:type="dxa"/>
            <w:vAlign w:val="bottom"/>
            <w:tcBorders>
              <w:left w:val="single" w:sz="8" w:color="00000A"/>
              <w:right w:val="single" w:sz="8" w:color="00000A"/>
            </w:tcBorders>
            <w:vMerge w:val="continue"/>
          </w:tcPr>
          <w:p>
            <w:pPr>
              <w:spacing w:after="0"/>
              <w:rPr>
                <w:sz w:val="13"/>
                <w:szCs w:val="13"/>
                <w:color w:val="auto"/>
              </w:rPr>
            </w:pPr>
          </w:p>
        </w:tc>
        <w:tc>
          <w:tcPr>
            <w:tcW w:w="3760" w:type="dxa"/>
            <w:vAlign w:val="bottom"/>
            <w:tcBorders>
              <w:right w:val="single" w:sz="8" w:color="00000A"/>
            </w:tcBorders>
            <w:vMerge w:val="restart"/>
          </w:tcPr>
          <w:p>
            <w:pPr>
              <w:jc w:val="right"/>
              <w:ind w:right="1032"/>
              <w:spacing w:after="0"/>
              <w:rPr>
                <w:sz w:val="20"/>
                <w:szCs w:val="20"/>
                <w:color w:val="auto"/>
              </w:rPr>
            </w:pPr>
            <w:r>
              <w:rPr>
                <w:rFonts w:ascii="Arial" w:cs="Arial" w:eastAsia="Arial" w:hAnsi="Arial"/>
                <w:sz w:val="22"/>
                <w:szCs w:val="22"/>
                <w:color w:val="auto"/>
              </w:rPr>
              <w:t>Eurodollar Loans</w:t>
            </w:r>
          </w:p>
        </w:tc>
        <w:tc>
          <w:tcPr>
            <w:tcW w:w="3760" w:type="dxa"/>
            <w:vAlign w:val="bottom"/>
            <w:tcBorders>
              <w:right w:val="single" w:sz="8" w:color="00000A"/>
            </w:tcBorders>
            <w:vMerge w:val="restart"/>
          </w:tcPr>
          <w:p>
            <w:pPr>
              <w:jc w:val="right"/>
              <w:ind w:right="1272"/>
              <w:spacing w:after="0"/>
              <w:rPr>
                <w:sz w:val="20"/>
                <w:szCs w:val="20"/>
                <w:color w:val="auto"/>
              </w:rPr>
            </w:pPr>
            <w:r>
              <w:rPr>
                <w:rFonts w:ascii="Arial" w:cs="Arial" w:eastAsia="Arial" w:hAnsi="Arial"/>
                <w:sz w:val="22"/>
                <w:szCs w:val="22"/>
                <w:color w:val="auto"/>
              </w:rPr>
              <w:t>ABR Loans</w:t>
            </w:r>
          </w:p>
        </w:tc>
        <w:tc>
          <w:tcPr>
            <w:tcW w:w="0" w:type="dxa"/>
            <w:vAlign w:val="bottom"/>
          </w:tcPr>
          <w:p>
            <w:pPr>
              <w:spacing w:after="0"/>
              <w:rPr>
                <w:sz w:val="1"/>
                <w:szCs w:val="1"/>
                <w:color w:val="auto"/>
              </w:rPr>
            </w:pPr>
          </w:p>
        </w:tc>
      </w:tr>
      <w:tr>
        <w:trPr>
          <w:trHeight w:val="122"/>
        </w:trPr>
        <w:tc>
          <w:tcPr>
            <w:tcW w:w="3920" w:type="dxa"/>
            <w:vAlign w:val="bottom"/>
            <w:tcBorders>
              <w:left w:val="single" w:sz="8" w:color="00000A"/>
              <w:right w:val="single" w:sz="8" w:color="00000A"/>
            </w:tcBorders>
          </w:tcPr>
          <w:p>
            <w:pPr>
              <w:spacing w:after="0"/>
              <w:rPr>
                <w:sz w:val="10"/>
                <w:szCs w:val="10"/>
                <w:color w:val="auto"/>
              </w:rPr>
            </w:pPr>
          </w:p>
        </w:tc>
        <w:tc>
          <w:tcPr>
            <w:tcW w:w="3760" w:type="dxa"/>
            <w:vAlign w:val="bottom"/>
            <w:tcBorders>
              <w:right w:val="single" w:sz="8" w:color="00000A"/>
            </w:tcBorders>
            <w:vMerge w:val="continue"/>
          </w:tcPr>
          <w:p>
            <w:pPr>
              <w:spacing w:after="0"/>
              <w:rPr>
                <w:sz w:val="10"/>
                <w:szCs w:val="10"/>
                <w:color w:val="auto"/>
              </w:rPr>
            </w:pPr>
          </w:p>
        </w:tc>
        <w:tc>
          <w:tcPr>
            <w:tcW w:w="376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920" w:type="dxa"/>
            <w:vAlign w:val="bottom"/>
            <w:tcBorders>
              <w:left w:val="single" w:sz="8" w:color="00000A"/>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2017 Replacement Term Loans</w:t>
            </w:r>
          </w:p>
        </w:tc>
        <w:tc>
          <w:tcPr>
            <w:tcW w:w="3760" w:type="dxa"/>
            <w:vAlign w:val="bottom"/>
            <w:tcBorders>
              <w:right w:val="single" w:sz="8" w:color="00000A"/>
            </w:tcBorders>
          </w:tcPr>
          <w:p>
            <w:pPr>
              <w:jc w:val="right"/>
              <w:ind w:right="3072"/>
              <w:spacing w:after="0"/>
              <w:rPr>
                <w:sz w:val="20"/>
                <w:szCs w:val="20"/>
                <w:color w:val="auto"/>
              </w:rPr>
            </w:pPr>
            <w:r>
              <w:rPr>
                <w:rFonts w:ascii="Arial" w:cs="Arial" w:eastAsia="Arial" w:hAnsi="Arial"/>
                <w:sz w:val="22"/>
                <w:szCs w:val="22"/>
                <w:color w:val="auto"/>
                <w:w w:val="89"/>
              </w:rPr>
              <w:t>2.00%</w:t>
            </w:r>
          </w:p>
        </w:tc>
        <w:tc>
          <w:tcPr>
            <w:tcW w:w="3760" w:type="dxa"/>
            <w:vAlign w:val="bottom"/>
            <w:tcBorders>
              <w:right w:val="single" w:sz="8" w:color="00000A"/>
            </w:tcBorders>
          </w:tcPr>
          <w:p>
            <w:pPr>
              <w:jc w:val="right"/>
              <w:ind w:right="3072"/>
              <w:spacing w:after="0"/>
              <w:rPr>
                <w:sz w:val="20"/>
                <w:szCs w:val="20"/>
                <w:color w:val="auto"/>
              </w:rPr>
            </w:pPr>
            <w:r>
              <w:rPr>
                <w:rFonts w:ascii="Arial" w:cs="Arial" w:eastAsia="Arial" w:hAnsi="Arial"/>
                <w:sz w:val="22"/>
                <w:szCs w:val="22"/>
                <w:color w:val="auto"/>
                <w:w w:val="89"/>
              </w:rPr>
              <w:t>1.00%</w:t>
            </w:r>
          </w:p>
        </w:tc>
        <w:tc>
          <w:tcPr>
            <w:tcW w:w="0" w:type="dxa"/>
            <w:vAlign w:val="bottom"/>
          </w:tcPr>
          <w:p>
            <w:pPr>
              <w:spacing w:after="0"/>
              <w:rPr>
                <w:sz w:val="1"/>
                <w:szCs w:val="1"/>
                <w:color w:val="auto"/>
              </w:rPr>
            </w:pPr>
          </w:p>
        </w:tc>
      </w:tr>
      <w:tr>
        <w:trPr>
          <w:trHeight w:val="125"/>
        </w:trPr>
        <w:tc>
          <w:tcPr>
            <w:tcW w:w="3920" w:type="dxa"/>
            <w:vAlign w:val="bottom"/>
            <w:tcBorders>
              <w:left w:val="single" w:sz="8" w:color="00000A"/>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Revolving Loans</w:t>
            </w:r>
          </w:p>
        </w:tc>
        <w:tc>
          <w:tcPr>
            <w:tcW w:w="3760" w:type="dxa"/>
            <w:vAlign w:val="bottom"/>
            <w:tcBorders>
              <w:right w:val="single" w:sz="8" w:color="00000A"/>
            </w:tcBorders>
          </w:tcPr>
          <w:p>
            <w:pPr>
              <w:jc w:val="right"/>
              <w:ind w:right="3072"/>
              <w:spacing w:after="0"/>
              <w:rPr>
                <w:sz w:val="20"/>
                <w:szCs w:val="20"/>
                <w:color w:val="auto"/>
              </w:rPr>
            </w:pPr>
            <w:r>
              <w:rPr>
                <w:rFonts w:ascii="Arial" w:cs="Arial" w:eastAsia="Arial" w:hAnsi="Arial"/>
                <w:sz w:val="22"/>
                <w:szCs w:val="22"/>
                <w:color w:val="auto"/>
                <w:w w:val="89"/>
              </w:rPr>
              <w:t>2.25%</w:t>
            </w:r>
          </w:p>
        </w:tc>
        <w:tc>
          <w:tcPr>
            <w:tcW w:w="3760" w:type="dxa"/>
            <w:vAlign w:val="bottom"/>
            <w:tcBorders>
              <w:right w:val="single" w:sz="8" w:color="00000A"/>
            </w:tcBorders>
          </w:tcPr>
          <w:p>
            <w:pPr>
              <w:jc w:val="right"/>
              <w:ind w:right="3072"/>
              <w:spacing w:after="0"/>
              <w:rPr>
                <w:sz w:val="20"/>
                <w:szCs w:val="20"/>
                <w:color w:val="auto"/>
              </w:rPr>
            </w:pPr>
            <w:r>
              <w:rPr>
                <w:rFonts w:ascii="Arial" w:cs="Arial" w:eastAsia="Arial" w:hAnsi="Arial"/>
                <w:sz w:val="22"/>
                <w:szCs w:val="22"/>
                <w:color w:val="auto"/>
                <w:w w:val="89"/>
              </w:rPr>
              <w:t>1.25%</w:t>
            </w:r>
          </w:p>
        </w:tc>
        <w:tc>
          <w:tcPr>
            <w:tcW w:w="0" w:type="dxa"/>
            <w:vAlign w:val="bottom"/>
          </w:tcPr>
          <w:p>
            <w:pPr>
              <w:spacing w:after="0"/>
              <w:rPr>
                <w:sz w:val="1"/>
                <w:szCs w:val="1"/>
                <w:color w:val="auto"/>
              </w:rPr>
            </w:pPr>
          </w:p>
        </w:tc>
      </w:tr>
      <w:tr>
        <w:trPr>
          <w:trHeight w:val="125"/>
        </w:trPr>
        <w:tc>
          <w:tcPr>
            <w:tcW w:w="3920" w:type="dxa"/>
            <w:vAlign w:val="bottom"/>
            <w:tcBorders>
              <w:left w:val="single" w:sz="8" w:color="00000A"/>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376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500" w:firstLine="1305"/>
        <w:spacing w:after="0" w:line="276" w:lineRule="auto"/>
        <w:tabs>
          <w:tab w:leader="none" w:pos="172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appearing in Section 1.01 of the Credit Agreement is hereby amended and restated in its entirety as follows: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40"/>
          </w:cols>
          <w:pgMar w:left="240" w:top="591" w:right="219" w:bottom="1440" w:gutter="0" w:footer="0" w:header="0"/>
        </w:sectPr>
      </w:pPr>
    </w:p>
    <w:bookmarkStart w:id="95" w:name="page96"/>
    <w:bookmarkEnd w:id="95"/>
    <w:p>
      <w:pPr>
        <w:jc w:val="both"/>
        <w:ind w:left="900" w:firstLine="97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Revolving Facility Maturity Date</w:t>
      </w:r>
      <w:r>
        <w:rPr>
          <w:rFonts w:ascii="Arial" w:cs="Arial" w:eastAsia="Arial" w:hAnsi="Arial"/>
          <w:sz w:val="19"/>
          <w:szCs w:val="19"/>
          <w:color w:val="auto"/>
        </w:rPr>
        <w:t>” shall mean, with respect to (a) Revolving Commitments that have not been extended pursuant to Section 2.28(b), but including Revolving Commitments extended or made available pursuant to the Third Amendment, October 13, 2022 and (b) with respect to Extended Revolving Commitments extended after the Third Amendment Effective Date (as defined in the Third Amendment), the final maturity date therefor as specified in the applicable Extension Offer accepted by the respective Revolving Lender or Revolving Lenders.”;</w:t>
      </w:r>
    </w:p>
    <w:p>
      <w:pPr>
        <w:spacing w:after="0" w:line="363" w:lineRule="exact"/>
        <w:rPr>
          <w:sz w:val="20"/>
          <w:szCs w:val="20"/>
          <w:color w:val="auto"/>
        </w:rPr>
      </w:pPr>
    </w:p>
    <w:p>
      <w:pPr>
        <w:ind w:left="1800" w:hanging="495"/>
        <w:spacing w:after="0"/>
        <w:tabs>
          <w:tab w:leader="none" w:pos="18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inserting the following definition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Third Amendment</w:t>
      </w:r>
      <w:r>
        <w:rPr>
          <w:rFonts w:ascii="Arial" w:cs="Arial" w:eastAsia="Arial" w:hAnsi="Arial"/>
          <w:sz w:val="19"/>
          <w:szCs w:val="19"/>
          <w:color w:val="auto"/>
        </w:rPr>
        <w:t>” shall mean the Third Amendment to this Agreement, dated as of August 21, 2017.”;</w:t>
      </w:r>
    </w:p>
    <w:p>
      <w:pPr>
        <w:spacing w:after="0" w:line="200" w:lineRule="exact"/>
        <w:rPr>
          <w:sz w:val="20"/>
          <w:szCs w:val="20"/>
          <w:color w:val="auto"/>
        </w:rPr>
      </w:pPr>
    </w:p>
    <w:p>
      <w:pPr>
        <w:spacing w:after="0" w:line="270" w:lineRule="exact"/>
        <w:rPr>
          <w:sz w:val="20"/>
          <w:szCs w:val="20"/>
          <w:color w:val="auto"/>
        </w:rPr>
      </w:pPr>
    </w:p>
    <w:p>
      <w:pPr>
        <w:ind w:left="80" w:right="180" w:firstLine="1306"/>
        <w:spacing w:after="0" w:line="276" w:lineRule="auto"/>
        <w:tabs>
          <w:tab w:leader="none" w:pos="1809"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Commitment</w:t>
      </w:r>
      <w:r>
        <w:rPr>
          <w:rFonts w:ascii="Arial" w:cs="Arial" w:eastAsia="Arial" w:hAnsi="Arial"/>
          <w:sz w:val="22"/>
          <w:szCs w:val="22"/>
          <w:color w:val="auto"/>
        </w:rPr>
        <w:t>” is hereby amended by deleting the last sentence of said definition in its entirety and inserting in lieu thereof the following new sentence:</w:t>
      </w:r>
    </w:p>
    <w:p>
      <w:pPr>
        <w:spacing w:after="0" w:line="377" w:lineRule="exact"/>
        <w:rPr>
          <w:sz w:val="20"/>
          <w:szCs w:val="20"/>
          <w:color w:val="auto"/>
        </w:rPr>
      </w:pPr>
    </w:p>
    <w:p>
      <w:pPr>
        <w:ind w:left="1300" w:right="20" w:firstLine="648"/>
        <w:spacing w:after="0" w:line="263" w:lineRule="auto"/>
        <w:rPr>
          <w:sz w:val="20"/>
          <w:szCs w:val="20"/>
          <w:color w:val="auto"/>
        </w:rPr>
      </w:pPr>
      <w:r>
        <w:rPr>
          <w:rFonts w:ascii="Arial" w:cs="Arial" w:eastAsia="Arial" w:hAnsi="Arial"/>
          <w:sz w:val="22"/>
          <w:szCs w:val="22"/>
          <w:color w:val="auto"/>
        </w:rPr>
        <w:t>“The aggregate amount of the Total Revolving Commitments as of the Third Amendment Effective Date (as defined in the Third Amendment) is $1,200,000,000.”; and</w:t>
      </w:r>
    </w:p>
    <w:p>
      <w:pPr>
        <w:spacing w:after="0" w:line="391" w:lineRule="exact"/>
        <w:rPr>
          <w:sz w:val="20"/>
          <w:szCs w:val="20"/>
          <w:color w:val="auto"/>
        </w:rPr>
      </w:pPr>
    </w:p>
    <w:p>
      <w:pPr>
        <w:ind w:left="1380"/>
        <w:spacing w:after="0"/>
        <w:tabs>
          <w:tab w:leader="none" w:pos="17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“Annex A” of the Credit Agreement is hereby amended and restated in its entirety in the form attached hereto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 Schedule 1.</w:t>
      </w:r>
    </w:p>
    <w:p>
      <w:pPr>
        <w:spacing w:after="0" w:line="200" w:lineRule="exact"/>
        <w:rPr>
          <w:sz w:val="20"/>
          <w:szCs w:val="20"/>
          <w:color w:val="auto"/>
        </w:rPr>
      </w:pPr>
    </w:p>
    <w:p>
      <w:pPr>
        <w:spacing w:after="0" w:line="231" w:lineRule="exact"/>
        <w:rPr>
          <w:sz w:val="20"/>
          <w:szCs w:val="20"/>
          <w:color w:val="auto"/>
        </w:rPr>
      </w:pPr>
    </w:p>
    <w:p>
      <w:pPr>
        <w:jc w:val="both"/>
        <w:ind w:left="80" w:firstLine="1216"/>
        <w:spacing w:after="0" w:line="253" w:lineRule="auto"/>
        <w:rPr>
          <w:sz w:val="20"/>
          <w:szCs w:val="20"/>
          <w:color w:val="auto"/>
        </w:rPr>
      </w:pPr>
      <w:r>
        <w:rPr>
          <w:rFonts w:ascii="Arial" w:cs="Arial" w:eastAsia="Arial" w:hAnsi="Arial"/>
          <w:sz w:val="22"/>
          <w:szCs w:val="22"/>
          <w:color w:val="auto"/>
        </w:rPr>
        <w:t>Notwithstanding anything in this Third Amendment or the Credit Agreement to the contrary, the Administrative Agent hereby waives the minimum notice required by Section 2.28(e) of the Credit Agreement in connection with the Revolver Extension to be effected pursuant to this Third Amendment.</w:t>
      </w:r>
    </w:p>
    <w:p>
      <w:pPr>
        <w:spacing w:after="0" w:line="200" w:lineRule="exact"/>
        <w:rPr>
          <w:sz w:val="20"/>
          <w:szCs w:val="20"/>
          <w:color w:val="auto"/>
        </w:rPr>
      </w:pPr>
    </w:p>
    <w:p>
      <w:pPr>
        <w:spacing w:after="0" w:line="20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SECTION THREE - Titles and Roles.</w:t>
      </w:r>
      <w:r>
        <w:rPr>
          <w:rFonts w:ascii="Arial" w:cs="Arial" w:eastAsia="Arial" w:hAnsi="Arial"/>
          <w:sz w:val="22"/>
          <w:szCs w:val="22"/>
          <w:color w:val="auto"/>
        </w:rPr>
        <w:t xml:space="preserve"> The parties hereto agree that, as of the Third Amendment Effective Date (as defined below) and in connection with the Third Amendment:</w:t>
      </w:r>
    </w:p>
    <w:p>
      <w:pPr>
        <w:spacing w:after="0" w:line="391" w:lineRule="exact"/>
        <w:rPr>
          <w:sz w:val="20"/>
          <w:szCs w:val="20"/>
          <w:color w:val="auto"/>
        </w:rPr>
      </w:pPr>
    </w:p>
    <w:p>
      <w:pPr>
        <w:jc w:val="both"/>
        <w:ind w:firstLine="1305"/>
        <w:spacing w:after="0" w:line="294" w:lineRule="auto"/>
        <w:tabs>
          <w:tab w:leader="none" w:pos="1796" w:val="left"/>
        </w:tabs>
        <w:numPr>
          <w:ilvl w:val="0"/>
          <w:numId w:val="61"/>
        </w:numPr>
        <w:rPr>
          <w:rFonts w:ascii="Arial" w:cs="Arial" w:eastAsia="Arial" w:hAnsi="Arial"/>
          <w:sz w:val="19"/>
          <w:szCs w:val="19"/>
          <w:color w:val="auto"/>
        </w:rPr>
      </w:pPr>
      <w:r>
        <w:rPr>
          <w:rFonts w:ascii="Arial" w:cs="Arial" w:eastAsia="Arial" w:hAnsi="Arial"/>
          <w:sz w:val="19"/>
          <w:szCs w:val="19"/>
          <w:color w:val="auto"/>
        </w:rPr>
        <w:t>each of Deutsche Bank Securities Inc. (“</w:t>
      </w:r>
      <w:r>
        <w:rPr>
          <w:rFonts w:ascii="Arial" w:cs="Arial" w:eastAsia="Arial" w:hAnsi="Arial"/>
          <w:sz w:val="19"/>
          <w:szCs w:val="19"/>
          <w:i w:val="1"/>
          <w:iCs w:val="1"/>
          <w:color w:val="auto"/>
        </w:rPr>
        <w:t>DBSI</w:t>
      </w:r>
      <w:r>
        <w:rPr>
          <w:rFonts w:ascii="Arial" w:cs="Arial" w:eastAsia="Arial" w:hAnsi="Arial"/>
          <w:sz w:val="19"/>
          <w:szCs w:val="19"/>
          <w:color w:val="auto"/>
        </w:rPr>
        <w:t>”), Barclays Bank PLC (“</w:t>
      </w:r>
      <w:r>
        <w:rPr>
          <w:rFonts w:ascii="Arial" w:cs="Arial" w:eastAsia="Arial" w:hAnsi="Arial"/>
          <w:sz w:val="19"/>
          <w:szCs w:val="19"/>
          <w:i w:val="1"/>
          <w:iCs w:val="1"/>
          <w:color w:val="auto"/>
        </w:rPr>
        <w:t>Barclays</w:t>
      </w:r>
      <w:r>
        <w:rPr>
          <w:rFonts w:ascii="Arial" w:cs="Arial" w:eastAsia="Arial" w:hAnsi="Arial"/>
          <w:sz w:val="19"/>
          <w:szCs w:val="19"/>
          <w:color w:val="auto"/>
        </w:rPr>
        <w:t>”), Citigroup Global Markets Inc. (“</w:t>
      </w:r>
      <w:r>
        <w:rPr>
          <w:rFonts w:ascii="Arial" w:cs="Arial" w:eastAsia="Arial" w:hAnsi="Arial"/>
          <w:sz w:val="19"/>
          <w:szCs w:val="19"/>
          <w:i w:val="1"/>
          <w:iCs w:val="1"/>
          <w:color w:val="auto"/>
        </w:rPr>
        <w:t>Citi</w:t>
      </w:r>
      <w:r>
        <w:rPr>
          <w:rFonts w:ascii="Arial" w:cs="Arial" w:eastAsia="Arial" w:hAnsi="Arial"/>
          <w:sz w:val="19"/>
          <w:szCs w:val="19"/>
          <w:color w:val="auto"/>
        </w:rPr>
        <w:t>”), Credit Suisse Securities (USA) LLC (“</w:t>
      </w:r>
      <w:r>
        <w:rPr>
          <w:rFonts w:ascii="Arial" w:cs="Arial" w:eastAsia="Arial" w:hAnsi="Arial"/>
          <w:sz w:val="19"/>
          <w:szCs w:val="19"/>
          <w:i w:val="1"/>
          <w:iCs w:val="1"/>
          <w:color w:val="auto"/>
        </w:rPr>
        <w:t>CS Securities</w:t>
      </w:r>
      <w:r>
        <w:rPr>
          <w:rFonts w:ascii="Arial" w:cs="Arial" w:eastAsia="Arial" w:hAnsi="Arial"/>
          <w:sz w:val="19"/>
          <w:szCs w:val="19"/>
          <w:color w:val="auto"/>
        </w:rPr>
        <w:t>”), Goldman Sachs Lending Partners LLC (“</w:t>
      </w:r>
      <w:r>
        <w:rPr>
          <w:rFonts w:ascii="Arial" w:cs="Arial" w:eastAsia="Arial" w:hAnsi="Arial"/>
          <w:sz w:val="19"/>
          <w:szCs w:val="19"/>
          <w:i w:val="1"/>
          <w:iCs w:val="1"/>
          <w:color w:val="auto"/>
        </w:rPr>
        <w:t>GSLP</w:t>
      </w:r>
      <w:r>
        <w:rPr>
          <w:rFonts w:ascii="Arial" w:cs="Arial" w:eastAsia="Arial" w:hAnsi="Arial"/>
          <w:sz w:val="19"/>
          <w:szCs w:val="19"/>
          <w:color w:val="auto"/>
        </w:rPr>
        <w:t>”), Industrial and Commercial Bank of China Limited, New York Branch (“</w:t>
      </w:r>
      <w:r>
        <w:rPr>
          <w:rFonts w:ascii="Arial" w:cs="Arial" w:eastAsia="Arial" w:hAnsi="Arial"/>
          <w:sz w:val="19"/>
          <w:szCs w:val="19"/>
          <w:i w:val="1"/>
          <w:iCs w:val="1"/>
          <w:color w:val="auto"/>
        </w:rPr>
        <w:t>ICBC</w:t>
      </w:r>
      <w:r>
        <w:rPr>
          <w:rFonts w:ascii="Arial" w:cs="Arial" w:eastAsia="Arial" w:hAnsi="Arial"/>
          <w:sz w:val="19"/>
          <w:szCs w:val="19"/>
          <w:color w:val="auto"/>
        </w:rPr>
        <w:t>”), JPMorgan Chase Bank, N.A. (“</w:t>
      </w:r>
      <w:r>
        <w:rPr>
          <w:rFonts w:ascii="Arial" w:cs="Arial" w:eastAsia="Arial" w:hAnsi="Arial"/>
          <w:sz w:val="19"/>
          <w:szCs w:val="19"/>
          <w:i w:val="1"/>
          <w:iCs w:val="1"/>
          <w:color w:val="auto"/>
        </w:rPr>
        <w:t>JPMCB</w:t>
      </w:r>
      <w:r>
        <w:rPr>
          <w:rFonts w:ascii="Arial" w:cs="Arial" w:eastAsia="Arial" w:hAnsi="Arial"/>
          <w:sz w:val="19"/>
          <w:szCs w:val="19"/>
          <w:color w:val="auto"/>
        </w:rPr>
        <w:t>”), Merrill Lynch, Pierce, Fenner &amp; Smith Incorporated (“</w:t>
      </w:r>
      <w:r>
        <w:rPr>
          <w:rFonts w:ascii="Arial" w:cs="Arial" w:eastAsia="Arial" w:hAnsi="Arial"/>
          <w:sz w:val="19"/>
          <w:szCs w:val="19"/>
          <w:i w:val="1"/>
          <w:iCs w:val="1"/>
          <w:color w:val="auto"/>
        </w:rPr>
        <w:t>ML</w:t>
      </w:r>
      <w:r>
        <w:rPr>
          <w:rFonts w:ascii="Arial" w:cs="Arial" w:eastAsia="Arial" w:hAnsi="Arial"/>
          <w:sz w:val="19"/>
          <w:szCs w:val="19"/>
          <w:color w:val="auto"/>
        </w:rPr>
        <w:t>”), Morgan Stanley Senior Funding, Inc. (“</w:t>
      </w:r>
      <w:r>
        <w:rPr>
          <w:rFonts w:ascii="Arial" w:cs="Arial" w:eastAsia="Arial" w:hAnsi="Arial"/>
          <w:sz w:val="19"/>
          <w:szCs w:val="19"/>
          <w:i w:val="1"/>
          <w:iCs w:val="1"/>
          <w:color w:val="auto"/>
        </w:rPr>
        <w:t>MS</w:t>
      </w:r>
      <w:r>
        <w:rPr>
          <w:rFonts w:ascii="Arial" w:cs="Arial" w:eastAsia="Arial" w:hAnsi="Arial"/>
          <w:sz w:val="19"/>
          <w:szCs w:val="19"/>
          <w:color w:val="auto"/>
        </w:rPr>
        <w:t>”), BNP Paribas Securities Corp. (“</w:t>
      </w:r>
      <w:r>
        <w:rPr>
          <w:rFonts w:ascii="Arial" w:cs="Arial" w:eastAsia="Arial" w:hAnsi="Arial"/>
          <w:sz w:val="19"/>
          <w:szCs w:val="19"/>
          <w:i w:val="1"/>
          <w:iCs w:val="1"/>
          <w:color w:val="auto"/>
        </w:rPr>
        <w:t>BNP</w:t>
      </w:r>
      <w:r>
        <w:rPr>
          <w:rFonts w:ascii="Arial" w:cs="Arial" w:eastAsia="Arial" w:hAnsi="Arial"/>
          <w:sz w:val="19"/>
          <w:szCs w:val="19"/>
          <w:color w:val="auto"/>
        </w:rPr>
        <w:t xml:space="preserve"> </w:t>
      </w:r>
      <w:r>
        <w:rPr>
          <w:rFonts w:ascii="Arial" w:cs="Arial" w:eastAsia="Arial" w:hAnsi="Arial"/>
          <w:sz w:val="19"/>
          <w:szCs w:val="19"/>
          <w:i w:val="1"/>
          <w:iCs w:val="1"/>
          <w:color w:val="auto"/>
        </w:rPr>
        <w:t>Securities</w:t>
      </w:r>
      <w:r>
        <w:rPr>
          <w:rFonts w:ascii="Arial" w:cs="Arial" w:eastAsia="Arial" w:hAnsi="Arial"/>
          <w:sz w:val="19"/>
          <w:szCs w:val="19"/>
          <w:color w:val="auto"/>
        </w:rPr>
        <w:t>”), Credit Agricole Corporate and Investment Bank (“</w:t>
      </w:r>
      <w:r>
        <w:rPr>
          <w:rFonts w:ascii="Arial" w:cs="Arial" w:eastAsia="Arial" w:hAnsi="Arial"/>
          <w:sz w:val="19"/>
          <w:szCs w:val="19"/>
          <w:i w:val="1"/>
          <w:iCs w:val="1"/>
          <w:color w:val="auto"/>
        </w:rPr>
        <w:t>CA-CIB</w:t>
      </w:r>
      <w:r>
        <w:rPr>
          <w:rFonts w:ascii="Arial" w:cs="Arial" w:eastAsia="Arial" w:hAnsi="Arial"/>
          <w:sz w:val="19"/>
          <w:szCs w:val="19"/>
          <w:color w:val="auto"/>
        </w:rPr>
        <w:t>”), SCB, SMBC, U.S. Bank National Association (“</w:t>
      </w:r>
      <w:r>
        <w:rPr>
          <w:rFonts w:ascii="Arial" w:cs="Arial" w:eastAsia="Arial" w:hAnsi="Arial"/>
          <w:sz w:val="19"/>
          <w:szCs w:val="19"/>
          <w:i w:val="1"/>
          <w:iCs w:val="1"/>
          <w:color w:val="auto"/>
        </w:rPr>
        <w:t>US Bank</w:t>
      </w:r>
      <w:r>
        <w:rPr>
          <w:rFonts w:ascii="Arial" w:cs="Arial" w:eastAsia="Arial" w:hAnsi="Arial"/>
          <w:sz w:val="19"/>
          <w:szCs w:val="19"/>
          <w:color w:val="auto"/>
        </w:rPr>
        <w:t>”), and TCB shall be designated as, and perform the roles associated with, a joint lead arranger and bookrunner;</w:t>
      </w:r>
    </w:p>
    <w:p>
      <w:pPr>
        <w:spacing w:after="0" w:line="365" w:lineRule="exact"/>
        <w:rPr>
          <w:rFonts w:ascii="Arial" w:cs="Arial" w:eastAsia="Arial" w:hAnsi="Arial"/>
          <w:sz w:val="19"/>
          <w:szCs w:val="19"/>
          <w:color w:val="auto"/>
        </w:rPr>
      </w:pPr>
    </w:p>
    <w:p>
      <w:pPr>
        <w:ind w:right="20" w:firstLine="1305"/>
        <w:spacing w:after="0" w:line="263" w:lineRule="auto"/>
        <w:tabs>
          <w:tab w:leader="none" w:pos="1821" w:val="left"/>
        </w:tabs>
        <w:numPr>
          <w:ilvl w:val="0"/>
          <w:numId w:val="61"/>
        </w:numPr>
        <w:rPr>
          <w:rFonts w:ascii="Arial" w:cs="Arial" w:eastAsia="Arial" w:hAnsi="Arial"/>
          <w:sz w:val="22"/>
          <w:szCs w:val="22"/>
          <w:color w:val="auto"/>
        </w:rPr>
      </w:pPr>
      <w:r>
        <w:rPr>
          <w:rFonts w:ascii="Arial" w:cs="Arial" w:eastAsia="Arial" w:hAnsi="Arial"/>
          <w:sz w:val="22"/>
          <w:szCs w:val="22"/>
          <w:color w:val="auto"/>
        </w:rPr>
        <w:t>each of DBSI, Barclays, Citi, CS Securities, GSLP, ICBC, JPMCB, ML, and MS shall be designated as, and perform the roles associated with, a syndication agent;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96" w:name="page97"/>
    <w:bookmarkEnd w:id="96"/>
    <w:p>
      <w:pPr>
        <w:ind w:right="20" w:firstLine="1305"/>
        <w:spacing w:after="0" w:line="263" w:lineRule="auto"/>
        <w:tabs>
          <w:tab w:leader="none" w:pos="1822" w:val="left"/>
        </w:tabs>
        <w:numPr>
          <w:ilvl w:val="0"/>
          <w:numId w:val="62"/>
        </w:numPr>
        <w:rPr>
          <w:rFonts w:ascii="Arial" w:cs="Arial" w:eastAsia="Arial" w:hAnsi="Arial"/>
          <w:sz w:val="22"/>
          <w:szCs w:val="22"/>
          <w:color w:val="auto"/>
        </w:rPr>
      </w:pPr>
      <w:r>
        <w:rPr>
          <w:rFonts w:ascii="Arial" w:cs="Arial" w:eastAsia="Arial" w:hAnsi="Arial"/>
          <w:sz w:val="22"/>
          <w:szCs w:val="22"/>
          <w:color w:val="auto"/>
        </w:rPr>
        <w:t>each of BNP Securities, CA-CIB, SCB, SMBC, US Bank, and TCB shall be designated as, and perform the roles associated with, a documentation agent.</w:t>
      </w:r>
    </w:p>
    <w:p>
      <w:pPr>
        <w:spacing w:after="0" w:line="391" w:lineRule="exact"/>
        <w:rPr>
          <w:sz w:val="20"/>
          <w:szCs w:val="20"/>
          <w:color w:val="auto"/>
        </w:rPr>
      </w:pPr>
    </w:p>
    <w:p>
      <w:pPr>
        <w:jc w:val="both"/>
        <w:ind w:firstLine="1621"/>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The provisions of Sections One and Two of this Third Amendment shall become effective on the date (the “</w:t>
      </w:r>
      <w:r>
        <w:rPr>
          <w:rFonts w:ascii="Arial" w:cs="Arial" w:eastAsia="Arial" w:hAnsi="Arial"/>
          <w:sz w:val="22"/>
          <w:szCs w:val="22"/>
          <w:i w:val="1"/>
          <w:iCs w:val="1"/>
          <w:color w:val="auto"/>
        </w:rPr>
        <w:t>Third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320" w:lineRule="auto"/>
        <w:tabs>
          <w:tab w:leader="none" w:pos="1757"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Borrower, the Guarantor, the Administrative Agent, each Issuing Lender, each Existing Revolving Lender and each New Revolving Lender shall have signed a counterpart hereof (whether the same or different counterparts) and shall have delivered the same to Milbank, Tweed, Hadley &amp; McCloy LLP, 28 Liberty Street, New York, NY 10005, attention: Dylan Scher;</w:t>
      </w:r>
    </w:p>
    <w:p>
      <w:pPr>
        <w:spacing w:after="0" w:line="341" w:lineRule="exact"/>
        <w:rPr>
          <w:rFonts w:ascii="Arial" w:cs="Arial" w:eastAsia="Arial" w:hAnsi="Arial"/>
          <w:sz w:val="19"/>
          <w:szCs w:val="19"/>
          <w:color w:val="auto"/>
        </w:rPr>
      </w:pPr>
    </w:p>
    <w:p>
      <w:pPr>
        <w:jc w:val="both"/>
        <w:ind w:firstLine="1305"/>
        <w:spacing w:after="0" w:line="266" w:lineRule="auto"/>
        <w:tabs>
          <w:tab w:leader="none" w:pos="1850" w:val="left"/>
        </w:tabs>
        <w:numPr>
          <w:ilvl w:val="1"/>
          <w:numId w:val="63"/>
        </w:numPr>
        <w:rPr>
          <w:rFonts w:ascii="Arial" w:cs="Arial" w:eastAsia="Arial" w:hAnsi="Arial"/>
          <w:sz w:val="21"/>
          <w:szCs w:val="21"/>
          <w:color w:val="auto"/>
        </w:rPr>
      </w:pPr>
      <w:r>
        <w:rPr>
          <w:rFonts w:ascii="Arial" w:cs="Arial" w:eastAsia="Arial" w:hAnsi="Arial"/>
          <w:sz w:val="21"/>
          <w:szCs w:val="21"/>
          <w:color w:val="auto"/>
        </w:rPr>
        <w:t>all reasonable invoiced out-of-pocket expenses incurred by the Revolving Lenders and the Administrative Agent pursuant to Section 10.04 of the Credit Agreement (including the reasonable and documented fees, charges and disbursements of counsel) and all accrued and unpaid fees, owing and payable (including any fees agreed to in connection with this Third Amendment) shall have been paid to the extent invoiced at least two (2) Business Days prior to the Third Amendment Effective Date (or such shorter period as may be agreed by the Borrower);</w:t>
      </w:r>
    </w:p>
    <w:p>
      <w:pPr>
        <w:spacing w:after="0" w:line="390" w:lineRule="exact"/>
        <w:rPr>
          <w:rFonts w:ascii="Arial" w:cs="Arial" w:eastAsia="Arial" w:hAnsi="Arial"/>
          <w:sz w:val="21"/>
          <w:szCs w:val="21"/>
          <w:color w:val="auto"/>
        </w:rPr>
      </w:pPr>
    </w:p>
    <w:p>
      <w:pPr>
        <w:jc w:val="both"/>
        <w:ind w:firstLine="1305"/>
        <w:spacing w:after="0" w:line="260" w:lineRule="auto"/>
        <w:tabs>
          <w:tab w:leader="none" w:pos="1716"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Borrower shall have paid (or caused to be paid), for the account of each Revolving Lender, a one time, non-refundable fee equal to the amount set forth in that certain Revolving Lenders’ fee letter, among the Revolving Lenders and the Borrower, dated as of the Third Amendment Effective Date;</w:t>
      </w:r>
    </w:p>
    <w:p>
      <w:pPr>
        <w:spacing w:after="0" w:line="393" w:lineRule="exact"/>
        <w:rPr>
          <w:rFonts w:ascii="Arial" w:cs="Arial" w:eastAsia="Arial" w:hAnsi="Arial"/>
          <w:sz w:val="22"/>
          <w:szCs w:val="22"/>
          <w:color w:val="auto"/>
        </w:rPr>
      </w:pPr>
    </w:p>
    <w:p>
      <w:pPr>
        <w:jc w:val="both"/>
        <w:ind w:firstLine="1305"/>
        <w:spacing w:after="0" w:line="260" w:lineRule="auto"/>
        <w:tabs>
          <w:tab w:leader="none" w:pos="1769"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Parent, the Borrower and each other Guarantor addressed to the Administrative Agent and the Revolving Lenders party hereto, and dated the Third Amendment Effective Date;</w:t>
      </w:r>
    </w:p>
    <w:p>
      <w:pPr>
        <w:spacing w:after="0" w:line="393" w:lineRule="exact"/>
        <w:rPr>
          <w:rFonts w:ascii="Arial" w:cs="Arial" w:eastAsia="Arial" w:hAnsi="Arial"/>
          <w:sz w:val="22"/>
          <w:szCs w:val="22"/>
          <w:color w:val="auto"/>
        </w:rPr>
      </w:pPr>
    </w:p>
    <w:p>
      <w:pPr>
        <w:jc w:val="both"/>
        <w:ind w:firstLine="1305"/>
        <w:spacing w:after="0" w:line="254" w:lineRule="auto"/>
        <w:tabs>
          <w:tab w:leader="none" w:pos="1757"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Borrower shall have paid to the Administrative Agent (for the account of the Existing Revolving Lenders) all fees and interest accrued pursuant to Sections 2.07, 2.15, 2.16, 2.20 and 2.21 of the Credit Agreement in respect of the Revolving Facility to, and including, the Third Amendment Effective Date, whether or not then due and payable under the terms of the Credit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700" w:hanging="395"/>
        <w:spacing w:after="0"/>
        <w:tabs>
          <w:tab w:leader="none" w:pos="17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condition to the Revolving Extension effected pursuant to this Third Amendment set forth in Section 2.28(b)</w:t>
      </w:r>
    </w:p>
    <w:p>
      <w:pPr>
        <w:spacing w:after="0" w:line="56" w:lineRule="exact"/>
        <w:rPr>
          <w:rFonts w:ascii="Arial" w:cs="Arial" w:eastAsia="Arial" w:hAnsi="Arial"/>
          <w:sz w:val="19"/>
          <w:szCs w:val="19"/>
          <w:color w:val="auto"/>
        </w:rPr>
      </w:pPr>
    </w:p>
    <w:p>
      <w:pPr>
        <w:ind w:left="260" w:hanging="252"/>
        <w:spacing w:after="0"/>
        <w:tabs>
          <w:tab w:leader="none" w:pos="2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of the Credit Agreement shall have been satisfied;</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jc w:val="both"/>
        <w:ind w:firstLine="1305"/>
        <w:spacing w:after="0" w:line="248" w:lineRule="auto"/>
        <w:tabs>
          <w:tab w:leader="none" w:pos="1796" w:val="left"/>
        </w:tabs>
        <w:numPr>
          <w:ilvl w:val="1"/>
          <w:numId w:val="64"/>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of the Secretary or Assistant Secretary (or similar Responsible Officer), dated the Third Amendment Effective Date (i) certifying as to the incumbency and specimen signature of each Responsible Officer of the Borrower and the Guarantor executing this Third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2"/>
          <w:szCs w:val="22"/>
          <w:u w:val="single" w:color="auto"/>
          <w:color w:val="auto"/>
        </w:rPr>
        <w:t>clause (g)</w:t>
      </w:r>
      <w:r>
        <w:rPr>
          <w:rFonts w:ascii="Arial" w:cs="Arial" w:eastAsia="Arial" w:hAnsi="Arial"/>
          <w:sz w:val="22"/>
          <w:szCs w:val="22"/>
          <w:color w:val="auto"/>
        </w:rPr>
        <w:t>), (ii) attaching each constitutional document of each Loan Party or certifying that each constitutional document of each Loan Party previously delivered to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97" w:name="page98"/>
    <w:bookmarkEnd w:id="97"/>
    <w:p>
      <w:pPr>
        <w:jc w:val="both"/>
        <w:spacing w:after="0" w:line="302" w:lineRule="auto"/>
        <w:rPr>
          <w:sz w:val="20"/>
          <w:szCs w:val="20"/>
          <w:color w:val="auto"/>
        </w:rPr>
      </w:pPr>
      <w:r>
        <w:rPr>
          <w:rFonts w:ascii="Arial" w:cs="Arial" w:eastAsia="Arial" w:hAnsi="Arial"/>
          <w:sz w:val="19"/>
          <w:szCs w:val="19"/>
          <w:color w:val="auto"/>
        </w:rPr>
        <w:t>Administrative Agent has not been amended, supplemented, rescinded or otherwise modified and remains in full force and effect as of the date hereof, (iii) attaching resolutions of each Loan Party approving the transactions contemplated by the Third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359" w:lineRule="exact"/>
        <w:rPr>
          <w:sz w:val="20"/>
          <w:szCs w:val="20"/>
          <w:color w:val="auto"/>
        </w:rPr>
      </w:pPr>
    </w:p>
    <w:p>
      <w:pPr>
        <w:jc w:val="both"/>
        <w:ind w:firstLine="1305"/>
        <w:spacing w:after="0" w:line="266" w:lineRule="auto"/>
        <w:tabs>
          <w:tab w:leader="none" w:pos="1728"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evidence that the Fourth Amendment to that certain Amended and Restated Credit and Guaranty Agreement, dated as of April 20, 2015 between, </w:t>
      </w:r>
      <w:r>
        <w:rPr>
          <w:rFonts w:ascii="Arial" w:cs="Arial" w:eastAsia="Arial" w:hAnsi="Arial"/>
          <w:sz w:val="21"/>
          <w:szCs w:val="21"/>
          <w:i w:val="1"/>
          <w:iCs w:val="1"/>
          <w:color w:val="auto"/>
        </w:rPr>
        <w:t>inter alios</w:t>
      </w:r>
      <w:r>
        <w:rPr>
          <w:rFonts w:ascii="Arial" w:cs="Arial" w:eastAsia="Arial" w:hAnsi="Arial"/>
          <w:sz w:val="21"/>
          <w:szCs w:val="21"/>
          <w:color w:val="auto"/>
        </w:rPr>
        <w:t xml:space="preserve">, the Borrower and Citibank N.A. as administrative agent and that the Second Amendment to that certain Credit and Guaranty Agreement, dated as of April 29, 2016, between, </w:t>
      </w:r>
      <w:r>
        <w:rPr>
          <w:rFonts w:ascii="Arial" w:cs="Arial" w:eastAsia="Arial" w:hAnsi="Arial"/>
          <w:sz w:val="21"/>
          <w:szCs w:val="21"/>
          <w:i w:val="1"/>
          <w:iCs w:val="1"/>
          <w:color w:val="auto"/>
        </w:rPr>
        <w:t>inter alios</w:t>
      </w:r>
      <w:r>
        <w:rPr>
          <w:rFonts w:ascii="Arial" w:cs="Arial" w:eastAsia="Arial" w:hAnsi="Arial"/>
          <w:sz w:val="21"/>
          <w:szCs w:val="21"/>
          <w:color w:val="auto"/>
        </w:rPr>
        <w:t>, the Borrower and Barclays Bank PLC as administrative agent have, or will contemporaneously with the Third Amendment Effective Date, become effective; and</w:t>
      </w:r>
    </w:p>
    <w:p>
      <w:pPr>
        <w:spacing w:after="0" w:line="390" w:lineRule="exact"/>
        <w:rPr>
          <w:rFonts w:ascii="Arial" w:cs="Arial" w:eastAsia="Arial" w:hAnsi="Arial"/>
          <w:sz w:val="21"/>
          <w:szCs w:val="21"/>
          <w:color w:val="auto"/>
        </w:rPr>
      </w:pPr>
    </w:p>
    <w:p>
      <w:pPr>
        <w:jc w:val="both"/>
        <w:ind w:firstLine="1305"/>
        <w:spacing w:after="0" w:line="287" w:lineRule="auto"/>
        <w:tabs>
          <w:tab w:leader="none" w:pos="1775"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clause (i), the representations and warranties contained in (i) Section 3.04(a) of the Credit Agreement shall be deemed to refer to Parent’s Annual Report on Form 10-K for 2016 filed with the SEC (as amended) and all Quarterly Reports on Form 10-Q or Current Reports on Form 8-K that have been filed since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 and (B) as to the absence of any event occurring and continuing, or resulting from this Third Amendment on, the Third Amendment Effective Date, that constitutes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621"/>
        <w:spacing w:after="0" w:line="290" w:lineRule="auto"/>
        <w:rPr>
          <w:sz w:val="20"/>
          <w:szCs w:val="20"/>
          <w:color w:val="auto"/>
        </w:rPr>
      </w:pPr>
      <w:r>
        <w:rPr>
          <w:rFonts w:ascii="Arial" w:cs="Arial" w:eastAsia="Arial" w:hAnsi="Arial"/>
          <w:sz w:val="19"/>
          <w:szCs w:val="19"/>
          <w:u w:val="single" w:color="auto"/>
          <w:color w:val="auto"/>
        </w:rPr>
        <w:t>SECTION FIVE - No Default; Representations and Warranties</w:t>
      </w:r>
      <w:r>
        <w:rPr>
          <w:rFonts w:ascii="Arial" w:cs="Arial" w:eastAsia="Arial" w:hAnsi="Arial"/>
          <w:sz w:val="19"/>
          <w:szCs w:val="19"/>
          <w:color w:val="auto"/>
        </w:rPr>
        <w:t>. In order to induce the Revolving Lenders and the Administrative Agent to enter into this Third Amendment, the Borrower represents and warrants to each of the Revolving Lenders and the Administrative Agent that, on and as of the date hereof after giving effect to this Third Amendment, (i) no Default or Event of Default has occurred and is continuing or would result from giving effect to this Third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98" w:name="page99"/>
    <w:bookmarkEnd w:id="98"/>
    <w:p>
      <w:pPr>
        <w:jc w:val="both"/>
        <w:spacing w:after="0" w:line="288" w:lineRule="auto"/>
        <w:rPr>
          <w:sz w:val="20"/>
          <w:szCs w:val="20"/>
          <w:color w:val="auto"/>
        </w:rPr>
      </w:pPr>
      <w:r>
        <w:rPr>
          <w:rFonts w:ascii="Arial" w:cs="Arial" w:eastAsia="Arial" w:hAnsi="Arial"/>
          <w:sz w:val="19"/>
          <w:szCs w:val="19"/>
          <w:color w:val="auto"/>
        </w:rPr>
        <w:t xml:space="preserve">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Five, the representations and warranties contained in (i) Section 3.04(a) of the Credit Agreement shall be deemed to refer to Parent’s Annual Report on Form 10-K for 2016 filed with the SEC (as amended) and all Quarterly Reports on Form 10-Q or Current Reports on Form 8-K that have been filed since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w:t>
      </w:r>
    </w:p>
    <w:p>
      <w:pPr>
        <w:spacing w:after="0" w:line="376" w:lineRule="exact"/>
        <w:rPr>
          <w:sz w:val="20"/>
          <w:szCs w:val="20"/>
          <w:color w:val="auto"/>
        </w:rPr>
      </w:pPr>
    </w:p>
    <w:p>
      <w:pPr>
        <w:jc w:val="both"/>
        <w:ind w:firstLine="1621"/>
        <w:spacing w:after="0" w:line="260" w:lineRule="auto"/>
        <w:rPr>
          <w:sz w:val="20"/>
          <w:szCs w:val="20"/>
          <w:color w:val="auto"/>
        </w:rPr>
      </w:pPr>
      <w:r>
        <w:rPr>
          <w:rFonts w:ascii="Arial" w:cs="Arial" w:eastAsia="Arial" w:hAnsi="Arial"/>
          <w:sz w:val="21"/>
          <w:szCs w:val="21"/>
          <w:u w:val="single" w:color="auto"/>
          <w:color w:val="auto"/>
        </w:rPr>
        <w:t>SECTION SIX - Confirmation</w:t>
      </w:r>
      <w:r>
        <w:rPr>
          <w:rFonts w:ascii="Arial" w:cs="Arial" w:eastAsia="Arial" w:hAnsi="Arial"/>
          <w:sz w:val="21"/>
          <w:szCs w:val="21"/>
          <w:color w:val="auto"/>
        </w:rPr>
        <w:t>. The Borrower and each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extended pursuant to this Third Amendment) and all obligations of the Guarantors with respect of the guarantee of such obligations, respectively, and (ii) reaffirm the grant of Liens on the Collateral to secure the Obligations (as extended and increased pursuant to this Third Amendment) pursuant to the Collateral Documents.</w:t>
      </w:r>
    </w:p>
    <w:p>
      <w:pPr>
        <w:spacing w:after="0" w:line="397" w:lineRule="exact"/>
        <w:rPr>
          <w:sz w:val="20"/>
          <w:szCs w:val="20"/>
          <w:color w:val="auto"/>
        </w:rPr>
      </w:pPr>
    </w:p>
    <w:p>
      <w:pPr>
        <w:jc w:val="both"/>
        <w:ind w:firstLine="1621"/>
        <w:spacing w:after="0" w:line="289" w:lineRule="auto"/>
        <w:rPr>
          <w:sz w:val="20"/>
          <w:szCs w:val="20"/>
          <w:color w:val="auto"/>
        </w:rPr>
      </w:pPr>
      <w:r>
        <w:rPr>
          <w:rFonts w:ascii="Arial" w:cs="Arial" w:eastAsia="Arial" w:hAnsi="Arial"/>
          <w:sz w:val="19"/>
          <w:szCs w:val="19"/>
          <w:u w:val="single" w:color="auto"/>
          <w:color w:val="auto"/>
        </w:rPr>
        <w:t>SECTION SEVEN - Reference to and Effect on the Credit Agreement</w:t>
      </w:r>
      <w:r>
        <w:rPr>
          <w:rFonts w:ascii="Arial" w:cs="Arial" w:eastAsia="Arial" w:hAnsi="Arial"/>
          <w:sz w:val="19"/>
          <w:szCs w:val="19"/>
          <w:color w:val="auto"/>
        </w:rPr>
        <w:t>. On and after the Third Amendment Effective Date, each reference in the Credit Agreement to “this Agreement,” “hereunder,” “hereof” or words of like import referring to the Credit Agreement, shall mean and be a reference to the Credit Agreement as amended by this Third Amendment. The Credit Agreement and each of the other Loan Documents, as specifically amended by this Third Amendment, are and shall continue to be in full force and effect and are hereby in all respects ratified and confirmed. This Third Amendment shall be deemed to be a “Loan Document” for all purposes of the Credit Agreement (as amended hereby) and the other Loan Documents. The execution, delivery and effectiveness of this Third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74" w:lineRule="exact"/>
        <w:rPr>
          <w:sz w:val="20"/>
          <w:szCs w:val="20"/>
          <w:color w:val="auto"/>
        </w:rPr>
      </w:pPr>
    </w:p>
    <w:p>
      <w:pPr>
        <w:jc w:val="both"/>
        <w:ind w:firstLine="1621"/>
        <w:spacing w:after="0" w:line="297" w:lineRule="auto"/>
        <w:rPr>
          <w:sz w:val="20"/>
          <w:szCs w:val="20"/>
          <w:color w:val="auto"/>
        </w:rPr>
      </w:pPr>
      <w:r>
        <w:rPr>
          <w:rFonts w:ascii="Arial" w:cs="Arial" w:eastAsia="Arial" w:hAnsi="Arial"/>
          <w:sz w:val="19"/>
          <w:szCs w:val="19"/>
          <w:u w:val="single" w:color="auto"/>
          <w:color w:val="auto"/>
        </w:rPr>
        <w:t>SECTION EIGHT - Execution in Counterparts</w:t>
      </w:r>
      <w:r>
        <w:rPr>
          <w:rFonts w:ascii="Arial" w:cs="Arial" w:eastAsia="Arial" w:hAnsi="Arial"/>
          <w:sz w:val="19"/>
          <w:szCs w:val="19"/>
          <w:color w:val="auto"/>
        </w:rPr>
        <w:t>. This Third Amendment may be executed in counterparts (and by different parties hereto on different counterparts), each of which shall constitute an original, but all of which when taken together shall constitute a single contract. This Third Amendment shall be binding upon and inure to the benefit of the parties hereto and their respective successors and assigns. Delivery of an executed counterpart of a signature page of this Third Amendment by facsimile or electronic .pdf copy shall be effective as delivery of a manually executed counterpart of this Third Amendment.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99" w:name="page100"/>
    <w:bookmarkEnd w:id="99"/>
    <w:p>
      <w:pPr>
        <w:jc w:val="both"/>
        <w:ind w:firstLine="1621"/>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THIS THIRD AMENDMENT AND THE RIGHTS AND OBLIGATIONS OF THE PARTIES UNDER THIS THIRD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firstLine="1621"/>
        <w:spacing w:after="0" w:line="25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50" w:lineRule="auto"/>
        <w:tabs>
          <w:tab w:leader="none" w:pos="1765"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Third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100" w:name="page101"/>
    <w:bookmarkEnd w:id="100"/>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Third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Third Amendment to Amended and Restated Credit and Guaranty Agreement (South America)</w:t>
      </w:r>
    </w:p>
    <w:p>
      <w:pPr>
        <w:sectPr>
          <w:pgSz w:w="11900" w:h="16838" w:orient="portrait"/>
          <w:cols w:equalWidth="0" w:num="1">
            <w:col w:w="11420"/>
          </w:cols>
          <w:pgMar w:left="240" w:top="591" w:right="239" w:bottom="1440" w:gutter="0" w:footer="0" w:header="0"/>
        </w:sectPr>
      </w:pPr>
    </w:p>
    <w:bookmarkStart w:id="101" w:name="page102"/>
    <w:bookmarkEnd w:id="101"/>
    <w:p>
      <w:pPr>
        <w:ind w:left="2700"/>
        <w:spacing w:after="0"/>
        <w:rPr>
          <w:sz w:val="20"/>
          <w:szCs w:val="20"/>
          <w:color w:val="auto"/>
        </w:rPr>
      </w:pPr>
      <w:r>
        <w:rPr>
          <w:rFonts w:ascii="Arial" w:cs="Arial" w:eastAsia="Arial" w:hAnsi="Arial"/>
          <w:sz w:val="22"/>
          <w:szCs w:val="22"/>
          <w:color w:val="auto"/>
        </w:rPr>
        <w:t>DEUTSCHE BANK AG NEW YORK BRANCH,</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Marcus Tarkington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4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Marcus Tarkington</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626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9626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Anca Trifan</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Third Amendment to Amended and Restated Credit and Guaranty Agreement (South America)</w:t>
      </w:r>
    </w:p>
    <w:p>
      <w:pPr>
        <w:sectPr>
          <w:pgSz w:w="11900" w:h="16838" w:orient="portrait"/>
          <w:cols w:equalWidth="0" w:num="1">
            <w:col w:w="9019"/>
          </w:cols>
          <w:pgMar w:left="1440" w:top="807" w:right="1440" w:bottom="1440" w:gutter="0" w:footer="0" w:header="0"/>
        </w:sectPr>
      </w:pPr>
    </w:p>
    <w:bookmarkStart w:id="102" w:name="page103"/>
    <w:bookmarkEnd w:id="102"/>
    <w:p>
      <w:pPr>
        <w:ind w:left="3900"/>
        <w:spacing w:after="0"/>
        <w:rPr>
          <w:sz w:val="20"/>
          <w:szCs w:val="20"/>
          <w:color w:val="auto"/>
        </w:rPr>
      </w:pPr>
      <w:r>
        <w:rPr>
          <w:rFonts w:ascii="Arial" w:cs="Arial" w:eastAsia="Arial" w:hAnsi="Arial"/>
          <w:sz w:val="22"/>
          <w:szCs w:val="22"/>
          <w:b w:val="1"/>
          <w:bCs w:val="1"/>
          <w:i w:val="1"/>
          <w:iCs w:val="1"/>
          <w:u w:val="single" w:color="auto"/>
          <w:color w:val="auto"/>
        </w:rPr>
        <w:t>Schedule 1</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Name of Bank</w:t>
            </w:r>
          </w:p>
        </w:tc>
        <w:tc>
          <w:tcPr>
            <w:tcW w:w="2960" w:type="dxa"/>
            <w:vAlign w:val="bottom"/>
            <w:tcBorders>
              <w:top w:val="single" w:sz="8" w:color="00000A"/>
              <w:bottom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2"/>
                <w:szCs w:val="22"/>
                <w:b w:val="1"/>
                <w:bCs w:val="1"/>
                <w:color w:val="auto"/>
              </w:rPr>
              <w:t>Revolving Commitment</w:t>
            </w:r>
          </w:p>
        </w:tc>
        <w:tc>
          <w:tcPr>
            <w:tcW w:w="2960" w:type="dxa"/>
            <w:vAlign w:val="bottom"/>
            <w:tcBorders>
              <w:top w:val="single" w:sz="8" w:color="00000A"/>
              <w:bottom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2"/>
                <w:szCs w:val="22"/>
                <w:b w:val="1"/>
                <w:bCs w:val="1"/>
                <w:color w:val="auto"/>
              </w:rPr>
              <w:t>LC Commitment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$150,000,000</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Total</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$1,200,000,000</w:t>
            </w: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$150,000,000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807"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EXECUTION VERSION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FOURTH AMENDMENT TO AMENDED AND RESTATED CREDIT AND GUARANTY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FOURTH AMENDMENT TO AMENDED AND RESTATED CREDIT AND GUARANTY AGREEMENT (this “</w:t>
      </w:r>
      <w:r>
        <w:rPr>
          <w:rFonts w:ascii="Arial" w:cs="Arial" w:eastAsia="Arial" w:hAnsi="Arial"/>
          <w:sz w:val="21"/>
          <w:szCs w:val="21"/>
          <w:i w:val="1"/>
          <w:iCs w:val="1"/>
          <w:color w:val="auto"/>
        </w:rPr>
        <w:t>Fourth Amendment</w:t>
      </w:r>
      <w:r>
        <w:rPr>
          <w:rFonts w:ascii="Arial" w:cs="Arial" w:eastAsia="Arial" w:hAnsi="Arial"/>
          <w:sz w:val="21"/>
          <w:szCs w:val="21"/>
          <w:color w:val="auto"/>
        </w:rPr>
        <w:t>”), dated as of August 21, 2017 among American Airlines, Inc., a Delaware corporation (the “</w:t>
      </w:r>
      <w:r>
        <w:rPr>
          <w:rFonts w:ascii="Arial" w:cs="Arial" w:eastAsia="Arial" w:hAnsi="Arial"/>
          <w:sz w:val="21"/>
          <w:szCs w:val="21"/>
          <w:i w:val="1"/>
          <w:iCs w:val="1"/>
          <w:color w:val="auto"/>
        </w:rPr>
        <w:t>Borrower</w:t>
      </w:r>
      <w:r>
        <w:rPr>
          <w:rFonts w:ascii="Arial" w:cs="Arial" w:eastAsia="Arial" w:hAnsi="Arial"/>
          <w:sz w:val="21"/>
          <w:szCs w:val="21"/>
          <w:color w:val="auto"/>
        </w:rPr>
        <w:t>”), American Airlines Group Inc., a Delaware corporation (the “</w:t>
      </w:r>
      <w:r>
        <w:rPr>
          <w:rFonts w:ascii="Arial" w:cs="Arial" w:eastAsia="Arial" w:hAnsi="Arial"/>
          <w:sz w:val="21"/>
          <w:szCs w:val="21"/>
          <w:i w:val="1"/>
          <w:iCs w:val="1"/>
          <w:color w:val="auto"/>
        </w:rPr>
        <w:t>Parent</w:t>
      </w:r>
      <w:r>
        <w:rPr>
          <w:rFonts w:ascii="Arial" w:cs="Arial" w:eastAsia="Arial" w:hAnsi="Arial"/>
          <w:sz w:val="21"/>
          <w:szCs w:val="21"/>
          <w:color w:val="auto"/>
        </w:rPr>
        <w:t>” or the “</w:t>
      </w:r>
      <w:r>
        <w:rPr>
          <w:rFonts w:ascii="Arial" w:cs="Arial" w:eastAsia="Arial" w:hAnsi="Arial"/>
          <w:sz w:val="21"/>
          <w:szCs w:val="21"/>
          <w:i w:val="1"/>
          <w:iCs w:val="1"/>
          <w:color w:val="auto"/>
        </w:rPr>
        <w:t>Guarantor</w:t>
      </w:r>
      <w:r>
        <w:rPr>
          <w:rFonts w:ascii="Arial" w:cs="Arial" w:eastAsia="Arial" w:hAnsi="Arial"/>
          <w:sz w:val="21"/>
          <w:szCs w:val="21"/>
          <w:color w:val="auto"/>
        </w:rPr>
        <w:t>”), the Existing Revolving Lenders (as defined below) party hereto, Standard Chartered Bank (“</w:t>
      </w:r>
      <w:r>
        <w:rPr>
          <w:rFonts w:ascii="Arial" w:cs="Arial" w:eastAsia="Arial" w:hAnsi="Arial"/>
          <w:sz w:val="21"/>
          <w:szCs w:val="21"/>
          <w:i w:val="1"/>
          <w:iCs w:val="1"/>
          <w:color w:val="auto"/>
        </w:rPr>
        <w:t>SCB</w:t>
      </w:r>
      <w:r>
        <w:rPr>
          <w:rFonts w:ascii="Arial" w:cs="Arial" w:eastAsia="Arial" w:hAnsi="Arial"/>
          <w:sz w:val="21"/>
          <w:szCs w:val="21"/>
          <w:color w:val="auto"/>
        </w:rPr>
        <w:t>”), Sumitomo Mitsui Banking Corporation (“</w:t>
      </w:r>
      <w:r>
        <w:rPr>
          <w:rFonts w:ascii="Arial" w:cs="Arial" w:eastAsia="Arial" w:hAnsi="Arial"/>
          <w:sz w:val="21"/>
          <w:szCs w:val="21"/>
          <w:i w:val="1"/>
          <w:iCs w:val="1"/>
          <w:color w:val="auto"/>
        </w:rPr>
        <w:t>SMBC</w:t>
      </w:r>
      <w:r>
        <w:rPr>
          <w:rFonts w:ascii="Arial" w:cs="Arial" w:eastAsia="Arial" w:hAnsi="Arial"/>
          <w:sz w:val="21"/>
          <w:szCs w:val="21"/>
          <w:color w:val="auto"/>
        </w:rPr>
        <w:t>”), Texas Capital Bank, N.A. (“</w:t>
      </w:r>
      <w:r>
        <w:rPr>
          <w:rFonts w:ascii="Arial" w:cs="Arial" w:eastAsia="Arial" w:hAnsi="Arial"/>
          <w:sz w:val="21"/>
          <w:szCs w:val="21"/>
          <w:i w:val="1"/>
          <w:iCs w:val="1"/>
          <w:color w:val="auto"/>
        </w:rPr>
        <w:t>TCB</w:t>
      </w:r>
      <w:r>
        <w:rPr>
          <w:rFonts w:ascii="Arial" w:cs="Arial" w:eastAsia="Arial" w:hAnsi="Arial"/>
          <w:sz w:val="21"/>
          <w:szCs w:val="21"/>
          <w:color w:val="auto"/>
        </w:rPr>
        <w:t>” and together with SMBC and SCB, the “</w:t>
      </w:r>
      <w:r>
        <w:rPr>
          <w:rFonts w:ascii="Arial" w:cs="Arial" w:eastAsia="Arial" w:hAnsi="Arial"/>
          <w:sz w:val="21"/>
          <w:szCs w:val="21"/>
          <w:i w:val="1"/>
          <w:iCs w:val="1"/>
          <w:color w:val="auto"/>
        </w:rPr>
        <w:t>New Revolving Lenders</w:t>
      </w:r>
      <w:r>
        <w:rPr>
          <w:rFonts w:ascii="Arial" w:cs="Arial" w:eastAsia="Arial" w:hAnsi="Arial"/>
          <w:sz w:val="21"/>
          <w:szCs w:val="21"/>
          <w:color w:val="auto"/>
        </w:rPr>
        <w:t>”) and Citibank N.A., as administrative agent (in such capacity,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and as an issuing lender (in such capacity, an “</w:t>
      </w:r>
      <w:r>
        <w:rPr>
          <w:rFonts w:ascii="Arial" w:cs="Arial" w:eastAsia="Arial" w:hAnsi="Arial"/>
          <w:sz w:val="21"/>
          <w:szCs w:val="21"/>
          <w:i w:val="1"/>
          <w:iCs w:val="1"/>
          <w:color w:val="auto"/>
        </w:rPr>
        <w:t>Issuing Lender</w:t>
      </w:r>
      <w:r>
        <w:rPr>
          <w:rFonts w:ascii="Arial" w:cs="Arial" w:eastAsia="Arial" w:hAnsi="Arial"/>
          <w:sz w:val="21"/>
          <w:szCs w:val="21"/>
          <w:color w:val="auto"/>
        </w:rPr>
        <w:t>”). Unless otherwise indicated, all capitalized terms used herein and not otherwise defined shall have the respective meanings provided such terms in the Credit Agreement referred to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June 14, 2017 and as further amended, amended and restated, supplemented or otherwise modified to but not including the Fourth Amendment Effective Date as defined below, the “</w:t>
      </w:r>
      <w:r>
        <w:rPr>
          <w:rFonts w:ascii="Arial" w:cs="Arial" w:eastAsia="Arial" w:hAnsi="Arial"/>
          <w:sz w:val="19"/>
          <w:szCs w:val="19"/>
          <w:i w:val="1"/>
          <w:iCs w:val="1"/>
          <w:color w:val="auto"/>
        </w:rPr>
        <w:t>Credit Agreement</w:t>
      </w:r>
      <w:r>
        <w:rPr>
          <w:rFonts w:ascii="Arial" w:cs="Arial" w:eastAsia="Arial" w:hAnsi="Arial"/>
          <w:sz w:val="19"/>
          <w:szCs w:val="19"/>
          <w:color w:val="auto"/>
        </w:rPr>
        <w:t>”);</w:t>
      </w:r>
    </w:p>
    <w:p>
      <w:pPr>
        <w:spacing w:after="0" w:line="36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8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WHEREAS, the Borrower hereby (i) requests that each Revolving Lender that is a party to the Credit Agreement immediately prior to the Fourth Amendment Effective Date (each, an “</w:t>
      </w:r>
      <w:r>
        <w:rPr>
          <w:rFonts w:ascii="Arial" w:cs="Arial" w:eastAsia="Arial" w:hAnsi="Arial"/>
          <w:sz w:val="19"/>
          <w:szCs w:val="19"/>
          <w:i w:val="1"/>
          <w:iCs w:val="1"/>
          <w:color w:val="auto"/>
        </w:rPr>
        <w:t>Existing Revolving Lender</w:t>
      </w:r>
      <w:r>
        <w:rPr>
          <w:rFonts w:ascii="Arial" w:cs="Arial" w:eastAsia="Arial" w:hAnsi="Arial"/>
          <w:sz w:val="19"/>
          <w:szCs w:val="19"/>
          <w:color w:val="auto"/>
        </w:rPr>
        <w:t>”) extend the maturity of such Existing Revolving Lender’s Revolving Commitment pursuant to, and in accordance with the terms of, Section 2.28(b), (c), (d) and</w:t>
      </w:r>
    </w:p>
    <w:p>
      <w:pPr>
        <w:spacing w:after="0" w:line="1" w:lineRule="exact"/>
        <w:rPr>
          <w:sz w:val="20"/>
          <w:szCs w:val="20"/>
          <w:color w:val="auto"/>
        </w:rPr>
      </w:pPr>
    </w:p>
    <w:p>
      <w:pPr>
        <w:jc w:val="both"/>
        <w:ind w:firstLine="8"/>
        <w:spacing w:after="0" w:line="244" w:lineRule="auto"/>
        <w:tabs>
          <w:tab w:leader="none" w:pos="295" w:val="left"/>
        </w:tabs>
        <w:numPr>
          <w:ilvl w:val="0"/>
          <w:numId w:val="67"/>
        </w:numPr>
        <w:rPr>
          <w:rFonts w:ascii="Arial" w:cs="Arial" w:eastAsia="Arial" w:hAnsi="Arial"/>
          <w:sz w:val="22"/>
          <w:szCs w:val="22"/>
          <w:color w:val="auto"/>
        </w:rPr>
      </w:pPr>
      <w:r>
        <w:rPr>
          <w:rFonts w:ascii="Arial" w:cs="Arial" w:eastAsia="Arial" w:hAnsi="Arial"/>
          <w:sz w:val="22"/>
          <w:szCs w:val="22"/>
          <w:color w:val="auto"/>
        </w:rPr>
        <w:t>of the Credit Agreement and this Fourth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ectPr>
          <w:pgSz w:w="11900" w:h="16838" w:orient="portrait"/>
          <w:cols w:equalWidth="0" w:num="1">
            <w:col w:w="11420"/>
          </w:cols>
          <w:pgMar w:left="240" w:top="364" w:right="239" w:bottom="1440" w:gutter="0" w:footer="0" w:header="0"/>
        </w:sectPr>
      </w:pPr>
    </w:p>
    <w:bookmarkStart w:id="104" w:name="page105"/>
    <w:bookmarkEnd w:id="104"/>
    <w:p>
      <w:pPr>
        <w:jc w:val="both"/>
        <w:ind w:firstLine="1297"/>
        <w:spacing w:after="0" w:line="253" w:lineRule="auto"/>
        <w:rPr>
          <w:sz w:val="20"/>
          <w:szCs w:val="20"/>
          <w:color w:val="auto"/>
        </w:rPr>
      </w:pPr>
      <w:r>
        <w:rPr>
          <w:rFonts w:ascii="Arial" w:cs="Arial" w:eastAsia="Arial" w:hAnsi="Arial"/>
          <w:sz w:val="22"/>
          <w:szCs w:val="22"/>
          <w:color w:val="auto"/>
        </w:rPr>
        <w:t>WHEREAS, the Existing Revolving Lenders are willing to extend the maturity date of their respective Revolving Commitments, subject to and on the terms and conditions set forth herein and in Section 2.28(b), (c), (d) and (e) of the Credit Agreement;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undersigned Existing Revolving Lenders and New Revolving Lenders desire to reallocate the Revolving Commitments among themselves (the “</w:t>
      </w:r>
      <w:r>
        <w:rPr>
          <w:rFonts w:ascii="Arial" w:cs="Arial" w:eastAsia="Arial" w:hAnsi="Arial"/>
          <w:sz w:val="22"/>
          <w:szCs w:val="22"/>
          <w:i w:val="1"/>
          <w:iCs w:val="1"/>
          <w:color w:val="auto"/>
        </w:rPr>
        <w:t>Reallocation</w:t>
      </w:r>
      <w:r>
        <w:rPr>
          <w:rFonts w:ascii="Arial" w:cs="Arial" w:eastAsia="Arial" w:hAnsi="Arial"/>
          <w:sz w:val="22"/>
          <w:szCs w:val="22"/>
          <w:color w:val="auto"/>
        </w:rPr>
        <w:t>”) and that each Revolving Lender will hold such Revolving Commitment as is set out opposite its name on Schedule 1;</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Borrower, the Administrative Agent, the undersigned Existing Revolving Lenders and New Revolving Lenders wish to amend the Credit Agreement to provide for certain other modifications to the Credit Agreement, in each case, on the terms and subject to the conditions set forth herein; and</w:t>
      </w:r>
    </w:p>
    <w:p>
      <w:pPr>
        <w:spacing w:after="0" w:line="200" w:lineRule="exact"/>
        <w:rPr>
          <w:sz w:val="20"/>
          <w:szCs w:val="20"/>
          <w:color w:val="auto"/>
        </w:rPr>
      </w:pP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75" w:lineRule="exact"/>
        <w:rPr>
          <w:sz w:val="20"/>
          <w:szCs w:val="20"/>
          <w:color w:val="auto"/>
        </w:rPr>
      </w:pPr>
    </w:p>
    <w:p>
      <w:pPr>
        <w:ind w:firstLine="1297"/>
        <w:spacing w:after="0" w:line="300" w:lineRule="auto"/>
        <w:rPr>
          <w:sz w:val="20"/>
          <w:szCs w:val="20"/>
          <w:color w:val="auto"/>
        </w:rPr>
      </w:pPr>
      <w:r>
        <w:rPr>
          <w:rFonts w:ascii="Arial" w:cs="Arial" w:eastAsia="Arial" w:hAnsi="Arial"/>
          <w:sz w:val="21"/>
          <w:szCs w:val="21"/>
          <w:u w:val="single" w:color="auto"/>
          <w:color w:val="auto"/>
        </w:rPr>
        <w:t>SECTION ONE - Reallocation of Revolving Commitments</w:t>
      </w:r>
      <w:r>
        <w:rPr>
          <w:rFonts w:ascii="Arial" w:cs="Arial" w:eastAsia="Arial" w:hAnsi="Arial"/>
          <w:sz w:val="21"/>
          <w:szCs w:val="21"/>
          <w:color w:val="auto"/>
        </w:rPr>
        <w:t xml:space="preserve">. </w:t>
      </w:r>
      <w:r>
        <w:rPr>
          <w:rFonts w:ascii="Arial" w:cs="Arial" w:eastAsia="Arial" w:hAnsi="Arial"/>
          <w:sz w:val="17"/>
          <w:szCs w:val="17"/>
          <w:color w:val="auto"/>
        </w:rPr>
        <w:t>On the Fourth Amendment Effective Date, the Borrower, the</w:t>
      </w:r>
      <w:r>
        <w:rPr>
          <w:rFonts w:ascii="Arial" w:cs="Arial" w:eastAsia="Arial" w:hAnsi="Arial"/>
          <w:sz w:val="21"/>
          <w:szCs w:val="21"/>
          <w:color w:val="auto"/>
        </w:rPr>
        <w:t xml:space="preserve"> </w:t>
      </w:r>
      <w:r>
        <w:rPr>
          <w:rFonts w:ascii="Arial" w:cs="Arial" w:eastAsia="Arial" w:hAnsi="Arial"/>
          <w:sz w:val="17"/>
          <w:szCs w:val="17"/>
          <w:color w:val="auto"/>
        </w:rPr>
        <w:t>Existing Revolving Lenders and the New Revolving Lenders agree that (1) there shall be an automatic termination of the total Revolving Commitments in excess of $1,000,000,000; (2) there shall be an automatic adjustment to the Revolving Commitment Percentage of each Revolving Lender in the aggregate LC Exposure (if any) to reflect the new Revolving Commitment Percentage of each Revolving Lender in the aggregate LC Exposure (if any) and (3) each New Revolving Lender shall become a Revolving Lender under the Credit Agreement (as amended hereby).</w:t>
      </w:r>
    </w:p>
    <w:p>
      <w:pPr>
        <w:spacing w:after="0" w:line="176" w:lineRule="exact"/>
        <w:rPr>
          <w:sz w:val="20"/>
          <w:szCs w:val="20"/>
          <w:color w:val="auto"/>
        </w:rPr>
      </w:pPr>
    </w:p>
    <w:p>
      <w:pPr>
        <w:ind w:right="20" w:firstLine="1297"/>
        <w:spacing w:after="0" w:line="287" w:lineRule="auto"/>
        <w:rPr>
          <w:sz w:val="20"/>
          <w:szCs w:val="20"/>
          <w:color w:val="auto"/>
        </w:rPr>
      </w:pPr>
      <w:r>
        <w:rPr>
          <w:rFonts w:ascii="Arial" w:cs="Arial" w:eastAsia="Arial" w:hAnsi="Arial"/>
          <w:sz w:val="21"/>
          <w:szCs w:val="21"/>
          <w:u w:val="single" w:color="auto"/>
          <w:color w:val="auto"/>
        </w:rPr>
        <w:t>SECTION TWO - Extension of Revolving Facility</w:t>
      </w:r>
      <w:r>
        <w:rPr>
          <w:rFonts w:ascii="Arial" w:cs="Arial" w:eastAsia="Arial" w:hAnsi="Arial"/>
          <w:sz w:val="21"/>
          <w:szCs w:val="21"/>
          <w:color w:val="auto"/>
        </w:rPr>
        <w:t>. On the Fourth Amendment Effective Date (immediately after giving effect to the Reallocation contemplated in Section One), the Credit Agreement is modified as follows:</w:t>
      </w:r>
    </w:p>
    <w:p>
      <w:pPr>
        <w:spacing w:after="0" w:line="368" w:lineRule="exact"/>
        <w:rPr>
          <w:sz w:val="20"/>
          <w:szCs w:val="20"/>
          <w:color w:val="auto"/>
        </w:rPr>
      </w:pPr>
    </w:p>
    <w:p>
      <w:pPr>
        <w:ind w:right="260" w:firstLine="1305"/>
        <w:spacing w:after="0" w:line="276" w:lineRule="auto"/>
        <w:tabs>
          <w:tab w:leader="none" w:pos="1716"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Applicable Margin</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Margin</w:t>
      </w:r>
      <w:r>
        <w:rPr>
          <w:rFonts w:ascii="Arial" w:cs="Arial" w:eastAsia="Arial" w:hAnsi="Arial"/>
          <w:sz w:val="22"/>
          <w:szCs w:val="22"/>
          <w:color w:val="auto"/>
        </w:rPr>
        <w:t>” shall mean (a) with respect to Revolving Loans (i) that are Eurodollar Loans, 2.25% per annum and (ii) that are ABR Loans, 1.25% per annum and (b) with respect to 2017 Replacement Term Loans (i) that are Eurodollar Loans, 2.00% per annum and (ii) that are ABR Loans 1.00% per annum.</w:t>
      </w:r>
    </w:p>
    <w:p>
      <w:pPr>
        <w:spacing w:after="0" w:line="200" w:lineRule="exact"/>
        <w:rPr>
          <w:sz w:val="20"/>
          <w:szCs w:val="20"/>
          <w:color w:val="auto"/>
        </w:rPr>
      </w:pPr>
    </w:p>
    <w:p>
      <w:pPr>
        <w:spacing w:after="0" w:line="202" w:lineRule="exact"/>
        <w:rPr>
          <w:sz w:val="20"/>
          <w:szCs w:val="20"/>
          <w:color w:val="auto"/>
        </w:rPr>
      </w:pPr>
    </w:p>
    <w:p>
      <w:pPr>
        <w:ind w:right="480" w:firstLine="1305"/>
        <w:spacing w:after="0" w:line="276" w:lineRule="auto"/>
        <w:tabs>
          <w:tab w:leader="none" w:pos="1728"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Facility Maturity Date</w:t>
      </w:r>
      <w:r>
        <w:rPr>
          <w:rFonts w:ascii="Arial" w:cs="Arial" w:eastAsia="Arial" w:hAnsi="Arial"/>
          <w:sz w:val="22"/>
          <w:szCs w:val="22"/>
          <w:color w:val="auto"/>
        </w:rPr>
        <w:t>” appearing in Section 1.01 of the Credit Agreement is hereby amended and restated in its entirety as follows:</w:t>
      </w:r>
    </w:p>
    <w:p>
      <w:pPr>
        <w:spacing w:after="0" w:line="377" w:lineRule="exact"/>
        <w:rPr>
          <w:sz w:val="20"/>
          <w:szCs w:val="20"/>
          <w:color w:val="auto"/>
        </w:rPr>
      </w:pPr>
    </w:p>
    <w:p>
      <w:pPr>
        <w:jc w:val="both"/>
        <w:ind w:left="900" w:firstLine="97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Revolving Facility Maturity Date</w:t>
      </w:r>
      <w:r>
        <w:rPr>
          <w:rFonts w:ascii="Arial" w:cs="Arial" w:eastAsia="Arial" w:hAnsi="Arial"/>
          <w:sz w:val="21"/>
          <w:szCs w:val="21"/>
          <w:color w:val="auto"/>
        </w:rPr>
        <w:t>” shall mean, with respect to (a) Revolving Commitments that have not been extended pursuant to Section 2.28(b), but including Revolving Commitments extended or made available pursuant to the Fourth Amendment, October 13, 2022 and (b) with respect to Extended Revolving Commitments extended after the Fourth Amendment Effective Date (as defined in the Fourth Amendment),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105" w:name="page106"/>
    <w:bookmarkEnd w:id="105"/>
    <w:p>
      <w:pPr>
        <w:ind w:left="900"/>
        <w:spacing w:after="0" w:line="263" w:lineRule="auto"/>
        <w:rPr>
          <w:sz w:val="20"/>
          <w:szCs w:val="20"/>
          <w:color w:val="auto"/>
        </w:rPr>
      </w:pPr>
      <w:r>
        <w:rPr>
          <w:rFonts w:ascii="Arial" w:cs="Arial" w:eastAsia="Arial" w:hAnsi="Arial"/>
          <w:sz w:val="22"/>
          <w:szCs w:val="22"/>
          <w:color w:val="auto"/>
        </w:rPr>
        <w:t>final maturity date therefor as specified in the applicable Extension Offer accepted by the respective Revolving Lender or Revolving Lenders.”;</w:t>
      </w:r>
    </w:p>
    <w:p>
      <w:pPr>
        <w:spacing w:after="0" w:line="391" w:lineRule="exact"/>
        <w:rPr>
          <w:sz w:val="20"/>
          <w:szCs w:val="20"/>
          <w:color w:val="auto"/>
        </w:rPr>
      </w:pPr>
    </w:p>
    <w:p>
      <w:pPr>
        <w:ind w:left="1800" w:hanging="495"/>
        <w:spacing w:after="0"/>
        <w:tabs>
          <w:tab w:leader="none" w:pos="18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by inserting the following definition in appropriate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0" w:lineRule="exact"/>
        <w:rPr>
          <w:sz w:val="20"/>
          <w:szCs w:val="20"/>
          <w:color w:val="auto"/>
        </w:rPr>
      </w:pPr>
    </w:p>
    <w:p>
      <w:pPr>
        <w:spacing w:after="0" w:line="231"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Fourth Amendment</w:t>
      </w:r>
      <w:r>
        <w:rPr>
          <w:rFonts w:ascii="Arial" w:cs="Arial" w:eastAsia="Arial" w:hAnsi="Arial"/>
          <w:sz w:val="19"/>
          <w:szCs w:val="19"/>
          <w:color w:val="auto"/>
        </w:rPr>
        <w:t>” shall mean the Fourth Amendment to this Agreement, dated as of August 21, 2017.”;</w:t>
      </w:r>
    </w:p>
    <w:p>
      <w:pPr>
        <w:spacing w:after="0" w:line="200" w:lineRule="exact"/>
        <w:rPr>
          <w:sz w:val="20"/>
          <w:szCs w:val="20"/>
          <w:color w:val="auto"/>
        </w:rPr>
      </w:pPr>
    </w:p>
    <w:p>
      <w:pPr>
        <w:spacing w:after="0" w:line="270" w:lineRule="exact"/>
        <w:rPr>
          <w:sz w:val="20"/>
          <w:szCs w:val="20"/>
          <w:color w:val="auto"/>
        </w:rPr>
      </w:pPr>
    </w:p>
    <w:p>
      <w:pPr>
        <w:ind w:left="80" w:right="180" w:firstLine="1306"/>
        <w:spacing w:after="0" w:line="276" w:lineRule="auto"/>
        <w:tabs>
          <w:tab w:leader="none" w:pos="1809"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i w:val="1"/>
          <w:iCs w:val="1"/>
          <w:color w:val="auto"/>
        </w:rPr>
        <w:t>Revolving Commitment</w:t>
      </w:r>
      <w:r>
        <w:rPr>
          <w:rFonts w:ascii="Arial" w:cs="Arial" w:eastAsia="Arial" w:hAnsi="Arial"/>
          <w:sz w:val="22"/>
          <w:szCs w:val="22"/>
          <w:color w:val="auto"/>
        </w:rPr>
        <w:t>” is hereby amended by deleting the last sentence of said definition in its entirety and inserting in lieu thereof the following new sentence:</w:t>
      </w:r>
    </w:p>
    <w:p>
      <w:pPr>
        <w:spacing w:after="0" w:line="377" w:lineRule="exact"/>
        <w:rPr>
          <w:sz w:val="20"/>
          <w:szCs w:val="20"/>
          <w:color w:val="auto"/>
        </w:rPr>
      </w:pPr>
    </w:p>
    <w:p>
      <w:pPr>
        <w:ind w:left="1380" w:right="20" w:firstLine="567"/>
        <w:spacing w:after="0" w:line="263" w:lineRule="auto"/>
        <w:rPr>
          <w:sz w:val="20"/>
          <w:szCs w:val="20"/>
          <w:color w:val="auto"/>
        </w:rPr>
      </w:pPr>
      <w:r>
        <w:rPr>
          <w:rFonts w:ascii="Arial" w:cs="Arial" w:eastAsia="Arial" w:hAnsi="Arial"/>
          <w:sz w:val="22"/>
          <w:szCs w:val="22"/>
          <w:color w:val="auto"/>
        </w:rPr>
        <w:t>“The aggregate amount of the Total Revolving Commitments as of the Fourth Amendment Effective Date (as defined in the Fourth Amendment) is $1,000,000,000.”; and</w:t>
      </w:r>
    </w:p>
    <w:p>
      <w:pPr>
        <w:spacing w:after="0" w:line="391" w:lineRule="exact"/>
        <w:rPr>
          <w:sz w:val="20"/>
          <w:szCs w:val="20"/>
          <w:color w:val="auto"/>
        </w:rPr>
      </w:pPr>
    </w:p>
    <w:p>
      <w:pPr>
        <w:ind w:left="1380"/>
        <w:spacing w:after="0"/>
        <w:tabs>
          <w:tab w:leader="none" w:pos="17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“Annex A” of the Credit Agreement is hereby amended and restated in its entirety in the form attached hereto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 Schedule 1.</w:t>
      </w:r>
    </w:p>
    <w:p>
      <w:pPr>
        <w:spacing w:after="0" w:line="200" w:lineRule="exact"/>
        <w:rPr>
          <w:sz w:val="20"/>
          <w:szCs w:val="20"/>
          <w:color w:val="auto"/>
        </w:rPr>
      </w:pPr>
    </w:p>
    <w:p>
      <w:pPr>
        <w:spacing w:after="0" w:line="231" w:lineRule="exact"/>
        <w:rPr>
          <w:sz w:val="20"/>
          <w:szCs w:val="20"/>
          <w:color w:val="auto"/>
        </w:rPr>
      </w:pPr>
    </w:p>
    <w:p>
      <w:pPr>
        <w:jc w:val="both"/>
        <w:ind w:left="80" w:firstLine="1216"/>
        <w:spacing w:after="0" w:line="253" w:lineRule="auto"/>
        <w:rPr>
          <w:sz w:val="20"/>
          <w:szCs w:val="20"/>
          <w:color w:val="auto"/>
        </w:rPr>
      </w:pPr>
      <w:r>
        <w:rPr>
          <w:rFonts w:ascii="Arial" w:cs="Arial" w:eastAsia="Arial" w:hAnsi="Arial"/>
          <w:sz w:val="22"/>
          <w:szCs w:val="22"/>
          <w:color w:val="auto"/>
        </w:rPr>
        <w:t>Notwithstanding anything in this Fourth Amendment or the Credit Agreement to the contrary, the Administrative Agent hereby waives the minimum notice required by Section 2.28(e) of the Credit Agreement in connection with the Revolver Extension to be effected pursuant to this Fourth Amendment.</w:t>
      </w:r>
    </w:p>
    <w:p>
      <w:pPr>
        <w:spacing w:after="0" w:line="200" w:lineRule="exact"/>
        <w:rPr>
          <w:sz w:val="20"/>
          <w:szCs w:val="20"/>
          <w:color w:val="auto"/>
        </w:rPr>
      </w:pPr>
    </w:p>
    <w:p>
      <w:pPr>
        <w:spacing w:after="0" w:line="202" w:lineRule="exact"/>
        <w:rPr>
          <w:sz w:val="20"/>
          <w:szCs w:val="20"/>
          <w:color w:val="auto"/>
        </w:rPr>
      </w:pPr>
    </w:p>
    <w:p>
      <w:pPr>
        <w:ind w:left="1300"/>
        <w:spacing w:after="0"/>
        <w:tabs>
          <w:tab w:leader="none" w:pos="3320" w:val="left"/>
        </w:tabs>
        <w:rPr>
          <w:sz w:val="20"/>
          <w:szCs w:val="20"/>
          <w:color w:val="auto"/>
        </w:rPr>
      </w:pPr>
      <w:r>
        <w:rPr>
          <w:rFonts w:ascii="Arial" w:cs="Arial" w:eastAsia="Arial" w:hAnsi="Arial"/>
          <w:sz w:val="22"/>
          <w:szCs w:val="22"/>
          <w:u w:val="single" w:color="auto"/>
          <w:color w:val="auto"/>
        </w:rPr>
        <w:t>SECTION THREE -</w:t>
      </w:r>
      <w:r>
        <w:rPr>
          <w:sz w:val="20"/>
          <w:szCs w:val="20"/>
          <w:color w:val="auto"/>
        </w:rPr>
        <w:tab/>
      </w:r>
      <w:r>
        <w:rPr>
          <w:rFonts w:ascii="Arial" w:cs="Arial" w:eastAsia="Arial" w:hAnsi="Arial"/>
          <w:sz w:val="19"/>
          <w:szCs w:val="19"/>
          <w:color w:val="auto"/>
        </w:rPr>
        <w:t>The parties hereto agree that, as of the Fourth Amendment Effective Date (as defined below)</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and in connection with the Fourth Amendment:</w:t>
      </w:r>
    </w:p>
    <w:p>
      <w:pPr>
        <w:spacing w:after="0" w:line="200" w:lineRule="exact"/>
        <w:rPr>
          <w:sz w:val="20"/>
          <w:szCs w:val="20"/>
          <w:color w:val="auto"/>
        </w:rPr>
      </w:pPr>
    </w:p>
    <w:p>
      <w:pPr>
        <w:spacing w:after="0" w:line="231" w:lineRule="exact"/>
        <w:rPr>
          <w:sz w:val="20"/>
          <w:szCs w:val="20"/>
          <w:color w:val="auto"/>
        </w:rPr>
      </w:pPr>
    </w:p>
    <w:p>
      <w:pPr>
        <w:jc w:val="both"/>
        <w:ind w:firstLine="1305"/>
        <w:spacing w:after="0" w:line="294" w:lineRule="auto"/>
        <w:tabs>
          <w:tab w:leader="none" w:pos="1871" w:val="left"/>
        </w:tabs>
        <w:numPr>
          <w:ilvl w:val="0"/>
          <w:numId w:val="72"/>
        </w:numPr>
        <w:rPr>
          <w:rFonts w:ascii="Arial" w:cs="Arial" w:eastAsia="Arial" w:hAnsi="Arial"/>
          <w:sz w:val="19"/>
          <w:szCs w:val="19"/>
          <w:color w:val="auto"/>
        </w:rPr>
      </w:pPr>
      <w:r>
        <w:rPr>
          <w:rFonts w:ascii="Arial" w:cs="Arial" w:eastAsia="Arial" w:hAnsi="Arial"/>
          <w:sz w:val="19"/>
          <w:szCs w:val="19"/>
          <w:color w:val="auto"/>
        </w:rPr>
        <w:t>each of Citigroup Global Markets Inc. (“</w:t>
      </w:r>
      <w:r>
        <w:rPr>
          <w:rFonts w:ascii="Arial" w:cs="Arial" w:eastAsia="Arial" w:hAnsi="Arial"/>
          <w:sz w:val="19"/>
          <w:szCs w:val="19"/>
          <w:i w:val="1"/>
          <w:iCs w:val="1"/>
          <w:color w:val="auto"/>
        </w:rPr>
        <w:t>Citi</w:t>
      </w:r>
      <w:r>
        <w:rPr>
          <w:rFonts w:ascii="Arial" w:cs="Arial" w:eastAsia="Arial" w:hAnsi="Arial"/>
          <w:sz w:val="19"/>
          <w:szCs w:val="19"/>
          <w:color w:val="auto"/>
        </w:rPr>
        <w:t>”), Barclays Bank PLC (“</w:t>
      </w:r>
      <w:r>
        <w:rPr>
          <w:rFonts w:ascii="Arial" w:cs="Arial" w:eastAsia="Arial" w:hAnsi="Arial"/>
          <w:sz w:val="19"/>
          <w:szCs w:val="19"/>
          <w:i w:val="1"/>
          <w:iCs w:val="1"/>
          <w:color w:val="auto"/>
        </w:rPr>
        <w:t>Barclays</w:t>
      </w:r>
      <w:r>
        <w:rPr>
          <w:rFonts w:ascii="Arial" w:cs="Arial" w:eastAsia="Arial" w:hAnsi="Arial"/>
          <w:sz w:val="19"/>
          <w:szCs w:val="19"/>
          <w:color w:val="auto"/>
        </w:rPr>
        <w:t>”), Credit Suisse Securities (USA) LLC (“</w:t>
      </w:r>
      <w:r>
        <w:rPr>
          <w:rFonts w:ascii="Arial" w:cs="Arial" w:eastAsia="Arial" w:hAnsi="Arial"/>
          <w:sz w:val="19"/>
          <w:szCs w:val="19"/>
          <w:i w:val="1"/>
          <w:iCs w:val="1"/>
          <w:color w:val="auto"/>
        </w:rPr>
        <w:t>CS Securities</w:t>
      </w:r>
      <w:r>
        <w:rPr>
          <w:rFonts w:ascii="Arial" w:cs="Arial" w:eastAsia="Arial" w:hAnsi="Arial"/>
          <w:sz w:val="19"/>
          <w:szCs w:val="19"/>
          <w:color w:val="auto"/>
        </w:rPr>
        <w:t>”), Deutsche Bank Securities Inc. (“</w:t>
      </w:r>
      <w:r>
        <w:rPr>
          <w:rFonts w:ascii="Arial" w:cs="Arial" w:eastAsia="Arial" w:hAnsi="Arial"/>
          <w:sz w:val="19"/>
          <w:szCs w:val="19"/>
          <w:i w:val="1"/>
          <w:iCs w:val="1"/>
          <w:color w:val="auto"/>
        </w:rPr>
        <w:t>DBSI</w:t>
      </w:r>
      <w:r>
        <w:rPr>
          <w:rFonts w:ascii="Arial" w:cs="Arial" w:eastAsia="Arial" w:hAnsi="Arial"/>
          <w:sz w:val="19"/>
          <w:szCs w:val="19"/>
          <w:color w:val="auto"/>
        </w:rPr>
        <w:t>”), Goldman Sachs Lending Partners LLC (“</w:t>
      </w:r>
      <w:r>
        <w:rPr>
          <w:rFonts w:ascii="Arial" w:cs="Arial" w:eastAsia="Arial" w:hAnsi="Arial"/>
          <w:sz w:val="19"/>
          <w:szCs w:val="19"/>
          <w:i w:val="1"/>
          <w:iCs w:val="1"/>
          <w:color w:val="auto"/>
        </w:rPr>
        <w:t>GSLP</w:t>
      </w:r>
      <w:r>
        <w:rPr>
          <w:rFonts w:ascii="Arial" w:cs="Arial" w:eastAsia="Arial" w:hAnsi="Arial"/>
          <w:sz w:val="19"/>
          <w:szCs w:val="19"/>
          <w:color w:val="auto"/>
        </w:rPr>
        <w:t>”), Industrial and Commercial Bank of China Limited, New York Branch (“</w:t>
      </w:r>
      <w:r>
        <w:rPr>
          <w:rFonts w:ascii="Arial" w:cs="Arial" w:eastAsia="Arial" w:hAnsi="Arial"/>
          <w:sz w:val="19"/>
          <w:szCs w:val="19"/>
          <w:i w:val="1"/>
          <w:iCs w:val="1"/>
          <w:color w:val="auto"/>
        </w:rPr>
        <w:t>ICBC</w:t>
      </w:r>
      <w:r>
        <w:rPr>
          <w:rFonts w:ascii="Arial" w:cs="Arial" w:eastAsia="Arial" w:hAnsi="Arial"/>
          <w:sz w:val="19"/>
          <w:szCs w:val="19"/>
          <w:color w:val="auto"/>
        </w:rPr>
        <w:t>”), JPMorgan Chase Bank, N.A. (“</w:t>
      </w:r>
      <w:r>
        <w:rPr>
          <w:rFonts w:ascii="Arial" w:cs="Arial" w:eastAsia="Arial" w:hAnsi="Arial"/>
          <w:sz w:val="19"/>
          <w:szCs w:val="19"/>
          <w:i w:val="1"/>
          <w:iCs w:val="1"/>
          <w:color w:val="auto"/>
        </w:rPr>
        <w:t>JPMCB</w:t>
      </w:r>
      <w:r>
        <w:rPr>
          <w:rFonts w:ascii="Arial" w:cs="Arial" w:eastAsia="Arial" w:hAnsi="Arial"/>
          <w:sz w:val="19"/>
          <w:szCs w:val="19"/>
          <w:color w:val="auto"/>
        </w:rPr>
        <w:t>”), Merrill Lynch, Pierce, Fenner &amp; Smith Incorporated (“</w:t>
      </w:r>
      <w:r>
        <w:rPr>
          <w:rFonts w:ascii="Arial" w:cs="Arial" w:eastAsia="Arial" w:hAnsi="Arial"/>
          <w:sz w:val="19"/>
          <w:szCs w:val="19"/>
          <w:i w:val="1"/>
          <w:iCs w:val="1"/>
          <w:color w:val="auto"/>
        </w:rPr>
        <w:t>ML</w:t>
      </w:r>
      <w:r>
        <w:rPr>
          <w:rFonts w:ascii="Arial" w:cs="Arial" w:eastAsia="Arial" w:hAnsi="Arial"/>
          <w:sz w:val="19"/>
          <w:szCs w:val="19"/>
          <w:color w:val="auto"/>
        </w:rPr>
        <w:t>”), Morgan Stanley Senior Funding, Inc. (“</w:t>
      </w:r>
      <w:r>
        <w:rPr>
          <w:rFonts w:ascii="Arial" w:cs="Arial" w:eastAsia="Arial" w:hAnsi="Arial"/>
          <w:sz w:val="19"/>
          <w:szCs w:val="19"/>
          <w:i w:val="1"/>
          <w:iCs w:val="1"/>
          <w:color w:val="auto"/>
        </w:rPr>
        <w:t>MS</w:t>
      </w:r>
      <w:r>
        <w:rPr>
          <w:rFonts w:ascii="Arial" w:cs="Arial" w:eastAsia="Arial" w:hAnsi="Arial"/>
          <w:sz w:val="19"/>
          <w:szCs w:val="19"/>
          <w:color w:val="auto"/>
        </w:rPr>
        <w:t>”), BNP Paribas Securities Corp. (“</w:t>
      </w:r>
      <w:r>
        <w:rPr>
          <w:rFonts w:ascii="Arial" w:cs="Arial" w:eastAsia="Arial" w:hAnsi="Arial"/>
          <w:sz w:val="19"/>
          <w:szCs w:val="19"/>
          <w:i w:val="1"/>
          <w:iCs w:val="1"/>
          <w:color w:val="auto"/>
        </w:rPr>
        <w:t>BNP Securities</w:t>
      </w:r>
      <w:r>
        <w:rPr>
          <w:rFonts w:ascii="Arial" w:cs="Arial" w:eastAsia="Arial" w:hAnsi="Arial"/>
          <w:sz w:val="19"/>
          <w:szCs w:val="19"/>
          <w:color w:val="auto"/>
        </w:rPr>
        <w:t>”), Credit Agricole Corporate and Investment Bank (“</w:t>
      </w:r>
      <w:r>
        <w:rPr>
          <w:rFonts w:ascii="Arial" w:cs="Arial" w:eastAsia="Arial" w:hAnsi="Arial"/>
          <w:sz w:val="19"/>
          <w:szCs w:val="19"/>
          <w:i w:val="1"/>
          <w:iCs w:val="1"/>
          <w:color w:val="auto"/>
        </w:rPr>
        <w:t>CA-CIB</w:t>
      </w:r>
      <w:r>
        <w:rPr>
          <w:rFonts w:ascii="Arial" w:cs="Arial" w:eastAsia="Arial" w:hAnsi="Arial"/>
          <w:sz w:val="19"/>
          <w:szCs w:val="19"/>
          <w:color w:val="auto"/>
        </w:rPr>
        <w:t>”), SCB, SMBC, U.S. Bank National Association (“</w:t>
      </w:r>
      <w:r>
        <w:rPr>
          <w:rFonts w:ascii="Arial" w:cs="Arial" w:eastAsia="Arial" w:hAnsi="Arial"/>
          <w:sz w:val="19"/>
          <w:szCs w:val="19"/>
          <w:i w:val="1"/>
          <w:iCs w:val="1"/>
          <w:color w:val="auto"/>
        </w:rPr>
        <w:t>US Bank</w:t>
      </w:r>
      <w:r>
        <w:rPr>
          <w:rFonts w:ascii="Arial" w:cs="Arial" w:eastAsia="Arial" w:hAnsi="Arial"/>
          <w:sz w:val="19"/>
          <w:szCs w:val="19"/>
          <w:color w:val="auto"/>
        </w:rPr>
        <w:t>”), and TCB shall be designated as, and perform the roles associated with, a joint lead arranger and bookrunner;</w:t>
      </w:r>
    </w:p>
    <w:p>
      <w:pPr>
        <w:spacing w:after="0" w:line="365" w:lineRule="exact"/>
        <w:rPr>
          <w:rFonts w:ascii="Arial" w:cs="Arial" w:eastAsia="Arial" w:hAnsi="Arial"/>
          <w:sz w:val="19"/>
          <w:szCs w:val="19"/>
          <w:color w:val="auto"/>
        </w:rPr>
      </w:pPr>
    </w:p>
    <w:p>
      <w:pPr>
        <w:ind w:right="20" w:firstLine="1305"/>
        <w:spacing w:after="0" w:line="263" w:lineRule="auto"/>
        <w:tabs>
          <w:tab w:leader="none" w:pos="1821" w:val="left"/>
        </w:tabs>
        <w:numPr>
          <w:ilvl w:val="0"/>
          <w:numId w:val="72"/>
        </w:numPr>
        <w:rPr>
          <w:rFonts w:ascii="Arial" w:cs="Arial" w:eastAsia="Arial" w:hAnsi="Arial"/>
          <w:sz w:val="22"/>
          <w:szCs w:val="22"/>
          <w:color w:val="auto"/>
        </w:rPr>
      </w:pPr>
      <w:r>
        <w:rPr>
          <w:rFonts w:ascii="Arial" w:cs="Arial" w:eastAsia="Arial" w:hAnsi="Arial"/>
          <w:sz w:val="22"/>
          <w:szCs w:val="22"/>
          <w:color w:val="auto"/>
        </w:rPr>
        <w:t>each of Citi, Barclays, CS Securities, DBSI, GSLP, ICBC, JPMCB, ML, and MS shall be designated as, and perform the roles associated with, a syndication agent; and</w:t>
      </w:r>
    </w:p>
    <w:p>
      <w:pPr>
        <w:spacing w:after="0" w:line="390" w:lineRule="exact"/>
        <w:rPr>
          <w:rFonts w:ascii="Arial" w:cs="Arial" w:eastAsia="Arial" w:hAnsi="Arial"/>
          <w:sz w:val="22"/>
          <w:szCs w:val="22"/>
          <w:color w:val="auto"/>
        </w:rPr>
      </w:pPr>
    </w:p>
    <w:p>
      <w:pPr>
        <w:ind w:right="20" w:firstLine="1305"/>
        <w:spacing w:after="0" w:line="263" w:lineRule="auto"/>
        <w:tabs>
          <w:tab w:leader="none" w:pos="1822" w:val="left"/>
        </w:tabs>
        <w:numPr>
          <w:ilvl w:val="0"/>
          <w:numId w:val="72"/>
        </w:numPr>
        <w:rPr>
          <w:rFonts w:ascii="Arial" w:cs="Arial" w:eastAsia="Arial" w:hAnsi="Arial"/>
          <w:sz w:val="22"/>
          <w:szCs w:val="22"/>
          <w:color w:val="auto"/>
        </w:rPr>
      </w:pPr>
      <w:r>
        <w:rPr>
          <w:rFonts w:ascii="Arial" w:cs="Arial" w:eastAsia="Arial" w:hAnsi="Arial"/>
          <w:sz w:val="22"/>
          <w:szCs w:val="22"/>
          <w:color w:val="auto"/>
        </w:rPr>
        <w:t>each of BNP Securities, CA-CIB, SCB, SMBC, US Bank, and TCB shall be designated as, and perform the roles associated with, a documentation agent.</w:t>
      </w:r>
    </w:p>
    <w:p>
      <w:pPr>
        <w:spacing w:after="0" w:line="39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The provisions of Sections One and Two of this Fourth Amendment shall become effective on the date (the “</w:t>
      </w:r>
      <w:r>
        <w:rPr>
          <w:rFonts w:ascii="Arial" w:cs="Arial" w:eastAsia="Arial" w:hAnsi="Arial"/>
          <w:sz w:val="22"/>
          <w:szCs w:val="22"/>
          <w:i w:val="1"/>
          <w:iCs w:val="1"/>
          <w:color w:val="auto"/>
        </w:rPr>
        <w:t>Fourth Amendment Effective Date</w:t>
      </w:r>
      <w:r>
        <w:rPr>
          <w:rFonts w:ascii="Arial" w:cs="Arial" w:eastAsia="Arial" w:hAnsi="Arial"/>
          <w:sz w:val="22"/>
          <w:szCs w:val="22"/>
          <w:color w:val="auto"/>
        </w:rPr>
        <w:t>”) when each of the following conditions specified below shall have been satisfied: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106" w:name="page107"/>
    <w:bookmarkEnd w:id="106"/>
    <w:p>
      <w:pPr>
        <w:jc w:val="both"/>
        <w:ind w:firstLine="1305"/>
        <w:spacing w:after="0" w:line="320" w:lineRule="auto"/>
        <w:tabs>
          <w:tab w:leader="none" w:pos="1757"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Borrower, the Guarantor, the Administrative Agent, each Issuing Lender, each Existing Revolving Lender and each New Revolving Lender shall have signed a counterpart hereof (whether the same or different counterparts) and shall have delivered the same to Milbank, Tweed, Hadley &amp; McCloy LLP, 28 Liberty Street, New York, NY 10005, attention: Dylan Scher;</w:t>
      </w:r>
    </w:p>
    <w:p>
      <w:pPr>
        <w:spacing w:after="0" w:line="341" w:lineRule="exact"/>
        <w:rPr>
          <w:rFonts w:ascii="Arial" w:cs="Arial" w:eastAsia="Arial" w:hAnsi="Arial"/>
          <w:sz w:val="19"/>
          <w:szCs w:val="19"/>
          <w:color w:val="auto"/>
        </w:rPr>
      </w:pPr>
    </w:p>
    <w:p>
      <w:pPr>
        <w:jc w:val="both"/>
        <w:ind w:firstLine="1305"/>
        <w:spacing w:after="0" w:line="266" w:lineRule="auto"/>
        <w:tabs>
          <w:tab w:leader="none" w:pos="1850" w:val="left"/>
        </w:tabs>
        <w:numPr>
          <w:ilvl w:val="0"/>
          <w:numId w:val="73"/>
        </w:numPr>
        <w:rPr>
          <w:rFonts w:ascii="Arial" w:cs="Arial" w:eastAsia="Arial" w:hAnsi="Arial"/>
          <w:sz w:val="21"/>
          <w:szCs w:val="21"/>
          <w:color w:val="auto"/>
        </w:rPr>
      </w:pPr>
      <w:r>
        <w:rPr>
          <w:rFonts w:ascii="Arial" w:cs="Arial" w:eastAsia="Arial" w:hAnsi="Arial"/>
          <w:sz w:val="21"/>
          <w:szCs w:val="21"/>
          <w:color w:val="auto"/>
        </w:rPr>
        <w:t>all reasonable invoiced out-of-pocket expenses incurred by the Revolving Lenders and the Administrative Agent pursuant to Section 10.04 of the Credit Agreement (including the reasonable and documented fees, charges and disbursements of counsel) and all accrued and unpaid fees, owing and payable (including any fees agreed to in connection with this Fourth Amendment) shall have been paid to the extent invoiced at least two (2) Business Days prior to the Fourth Amendment Effective Date (or such shorter period as may be agreed by the Borrower);</w:t>
      </w:r>
    </w:p>
    <w:p>
      <w:pPr>
        <w:spacing w:after="0" w:line="390" w:lineRule="exact"/>
        <w:rPr>
          <w:rFonts w:ascii="Arial" w:cs="Arial" w:eastAsia="Arial" w:hAnsi="Arial"/>
          <w:sz w:val="21"/>
          <w:szCs w:val="21"/>
          <w:color w:val="auto"/>
        </w:rPr>
      </w:pPr>
    </w:p>
    <w:p>
      <w:pPr>
        <w:jc w:val="both"/>
        <w:ind w:firstLine="1305"/>
        <w:spacing w:after="0" w:line="260" w:lineRule="auto"/>
        <w:tabs>
          <w:tab w:leader="none" w:pos="1716"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Borrower shall have paid (or caused to be paid), for the account of each Revolving Lender, a one time, non-refundable fee equal to the amount set forth in that certain Revolving Lenders’ fee letter, among the Revolving Lenders and the Borrower, dated as of the Fourth Amendment Effective Date;</w:t>
      </w:r>
    </w:p>
    <w:p>
      <w:pPr>
        <w:spacing w:after="0" w:line="393"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of Latham &amp; Watkins LLP, special counsel for Parent, the Borrower and the Guarantor addressed to the Administrative Agent and the Revolving Lenders party hereto, and dated the Fourth Amendment Effective Date;</w:t>
      </w:r>
    </w:p>
    <w:p>
      <w:pPr>
        <w:spacing w:after="0" w:line="393" w:lineRule="exact"/>
        <w:rPr>
          <w:rFonts w:ascii="Arial" w:cs="Arial" w:eastAsia="Arial" w:hAnsi="Arial"/>
          <w:sz w:val="22"/>
          <w:szCs w:val="22"/>
          <w:color w:val="auto"/>
        </w:rPr>
      </w:pPr>
    </w:p>
    <w:p>
      <w:pPr>
        <w:jc w:val="both"/>
        <w:ind w:firstLine="1305"/>
        <w:spacing w:after="0" w:line="254" w:lineRule="auto"/>
        <w:tabs>
          <w:tab w:leader="none" w:pos="1757"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Borrower shall have paid to the Administrative Agent (for the account of the Existing Revolving Lenders) all fees and interest accrued pursuant to Sections 2.07, 2.15, 2.16, 2.20 and 2.21 of the Credit Agreement in respect of the Revolving Facility to, and including, the Fourth Amendment Effective Date, whether or not then due and payable under the terms of the Credit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firstLine="1305"/>
        <w:spacing w:after="0" w:line="276" w:lineRule="auto"/>
        <w:tabs>
          <w:tab w:leader="none" w:pos="1814"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condition to the Revolving Extension effected pursuant to this Fourth Amendment set forth in Section 2.28(b)(i) of the Credit Agreement shall have been satisfied;</w:t>
      </w:r>
    </w:p>
    <w:p>
      <w:pPr>
        <w:spacing w:after="0" w:line="377" w:lineRule="exact"/>
        <w:rPr>
          <w:rFonts w:ascii="Arial" w:cs="Arial" w:eastAsia="Arial" w:hAnsi="Arial"/>
          <w:sz w:val="22"/>
          <w:szCs w:val="22"/>
          <w:color w:val="auto"/>
        </w:rPr>
      </w:pPr>
    </w:p>
    <w:p>
      <w:pPr>
        <w:jc w:val="both"/>
        <w:ind w:firstLine="1305"/>
        <w:spacing w:after="0" w:line="259" w:lineRule="auto"/>
        <w:tabs>
          <w:tab w:leader="none" w:pos="1796"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of the Secretary or Assistant Secretary (or similar Responsible Officer), dated the Fourth Amendment Effective Date (i) certifying as to the incumbency and specimen signature of each Responsible Officer of the Borrower and the Guarantor executing this Fourth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1"/>
          <w:szCs w:val="21"/>
          <w:u w:val="single" w:color="auto"/>
          <w:color w:val="auto"/>
        </w:rPr>
        <w:t>clause (g)</w:t>
      </w:r>
      <w:r>
        <w:rPr>
          <w:rFonts w:ascii="Arial" w:cs="Arial" w:eastAsia="Arial" w:hAnsi="Arial"/>
          <w:sz w:val="21"/>
          <w:szCs w:val="21"/>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Fourth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107" w:name="page108"/>
    <w:bookmarkEnd w:id="107"/>
    <w:p>
      <w:pPr>
        <w:jc w:val="both"/>
        <w:ind w:firstLine="1305"/>
        <w:spacing w:after="0" w:line="266" w:lineRule="auto"/>
        <w:tabs>
          <w:tab w:leader="none" w:pos="1742"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evidence that the Third Amendment to that certain Amended and Restated Credit and Guaranty Agreement dated the date hereof, among, </w:t>
      </w:r>
      <w:r>
        <w:rPr>
          <w:rFonts w:ascii="Arial" w:cs="Arial" w:eastAsia="Arial" w:hAnsi="Arial"/>
          <w:sz w:val="21"/>
          <w:szCs w:val="21"/>
          <w:i w:val="1"/>
          <w:iCs w:val="1"/>
          <w:color w:val="auto"/>
        </w:rPr>
        <w:t>inter alios</w:t>
      </w:r>
      <w:r>
        <w:rPr>
          <w:rFonts w:ascii="Arial" w:cs="Arial" w:eastAsia="Arial" w:hAnsi="Arial"/>
          <w:sz w:val="21"/>
          <w:szCs w:val="21"/>
          <w:color w:val="auto"/>
        </w:rPr>
        <w:t xml:space="preserve">, the Borrower and Deutsche Bank AG New York Branch as administrative agent and the Second Amendment to that certain Credit and Guaranty Agreement, dated as of the date hereof, among, </w:t>
      </w:r>
      <w:r>
        <w:rPr>
          <w:rFonts w:ascii="Arial" w:cs="Arial" w:eastAsia="Arial" w:hAnsi="Arial"/>
          <w:sz w:val="21"/>
          <w:szCs w:val="21"/>
          <w:i w:val="1"/>
          <w:iCs w:val="1"/>
          <w:color w:val="auto"/>
        </w:rPr>
        <w:t>inter alios</w:t>
      </w:r>
      <w:r>
        <w:rPr>
          <w:rFonts w:ascii="Arial" w:cs="Arial" w:eastAsia="Arial" w:hAnsi="Arial"/>
          <w:sz w:val="21"/>
          <w:szCs w:val="21"/>
          <w:color w:val="auto"/>
        </w:rPr>
        <w:t>, the Borrower and Barclays Bank PLC as administrative agent have, or will contemporaneously with the Fourth Amendment Effective Date, become effective; and</w:t>
      </w:r>
    </w:p>
    <w:p>
      <w:pPr>
        <w:spacing w:after="0" w:line="390" w:lineRule="exact"/>
        <w:rPr>
          <w:rFonts w:ascii="Arial" w:cs="Arial" w:eastAsia="Arial" w:hAnsi="Arial"/>
          <w:sz w:val="21"/>
          <w:szCs w:val="21"/>
          <w:color w:val="auto"/>
        </w:rPr>
      </w:pPr>
    </w:p>
    <w:p>
      <w:pPr>
        <w:jc w:val="both"/>
        <w:ind w:firstLine="1305"/>
        <w:spacing w:after="0" w:line="287" w:lineRule="auto"/>
        <w:tabs>
          <w:tab w:leader="none" w:pos="1775"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provided, further, that for purposes of this clause (i), the representations and warranties contained in (i) Section 3.04(a) of the Credit Agreement shall be deemed to refer to Parent’s Annual Report on Form 10-K for 2016 filed with the SEC (as amended) and all Quarterly Reports on Form 10-Q or Current Reports on Form 8-K that have been filed since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 and (B) as to the absence of any event occurring and continuing, or resulting from this Fourth Amendment on, the Fourth Amendment Effective Date, that constitutes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u w:val="single" w:color="auto"/>
          <w:color w:val="auto"/>
        </w:rPr>
        <w:t>SECTION FIVE - No Default; Representations and Warranties</w:t>
      </w:r>
      <w:r>
        <w:rPr>
          <w:rFonts w:ascii="Arial" w:cs="Arial" w:eastAsia="Arial" w:hAnsi="Arial"/>
          <w:sz w:val="19"/>
          <w:szCs w:val="19"/>
          <w:color w:val="auto"/>
        </w:rPr>
        <w:t xml:space="preserve">. In order to induce the Revolving Lenders and the Administrative Agent to enter into this Fourth Amendment, the Borrower represents and warrants to each of the Revolving Lenders and the Administrative Agent that, on and as of the date hereof after giving effect to this Fourth Amendment, (i) no Default or Event of Default has occurred and is continuing or would result from giving effect to this Fourth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Section Five, the representations and warranties contained in (i) Section 3.04(a) of the Credit Agreement shall be deemed to refer to Parent’s Annual Report on Form 10-K for 2016 filed with the SEC (as amended) and all Quarterly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21"/>
          <w:szCs w:val="21"/>
          <w:color w:val="auto"/>
        </w:rPr>
        <w:t>Reports on Form 10-Q or Current Reports on Form 8-K that have been filed since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March 31, 2017 and June 30, 2017.</w:t>
      </w:r>
    </w:p>
    <w:p>
      <w:pPr>
        <w:spacing w:after="0" w:line="392" w:lineRule="exact"/>
        <w:rPr>
          <w:sz w:val="20"/>
          <w:szCs w:val="20"/>
          <w:color w:val="auto"/>
        </w:rPr>
      </w:pPr>
    </w:p>
    <w:p>
      <w:pPr>
        <w:jc w:val="both"/>
        <w:ind w:left="80" w:firstLine="1297"/>
        <w:spacing w:after="0" w:line="260" w:lineRule="auto"/>
        <w:rPr>
          <w:sz w:val="20"/>
          <w:szCs w:val="20"/>
          <w:color w:val="auto"/>
        </w:rPr>
      </w:pPr>
      <w:r>
        <w:rPr>
          <w:rFonts w:ascii="Arial" w:cs="Arial" w:eastAsia="Arial" w:hAnsi="Arial"/>
          <w:sz w:val="21"/>
          <w:szCs w:val="21"/>
          <w:u w:val="single" w:color="auto"/>
          <w:color w:val="auto"/>
        </w:rPr>
        <w:t>SECTION SIX - Confirmation</w:t>
      </w:r>
      <w:r>
        <w:rPr>
          <w:rFonts w:ascii="Arial" w:cs="Arial" w:eastAsia="Arial" w:hAnsi="Arial"/>
          <w:sz w:val="21"/>
          <w:szCs w:val="21"/>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extended pursuant to this Fourth Amendment) and all obligations of the Guarantor with respect of the guarantee of such obligations, respectively, and (ii) reaffirm the grant of Liens on the Collateral to secure the Obligations (as extended and increased pursuant to this Fourth Amendment) pursuant to the Collateral Documents.</w:t>
      </w:r>
    </w:p>
    <w:p>
      <w:pPr>
        <w:spacing w:after="0" w:line="397" w:lineRule="exact"/>
        <w:rPr>
          <w:sz w:val="20"/>
          <w:szCs w:val="20"/>
          <w:color w:val="auto"/>
        </w:rPr>
      </w:pPr>
    </w:p>
    <w:p>
      <w:pPr>
        <w:jc w:val="both"/>
        <w:ind w:left="80" w:firstLine="1297"/>
        <w:spacing w:after="0" w:line="291" w:lineRule="auto"/>
        <w:rPr>
          <w:sz w:val="20"/>
          <w:szCs w:val="20"/>
          <w:color w:val="auto"/>
        </w:rPr>
      </w:pPr>
      <w:r>
        <w:rPr>
          <w:rFonts w:ascii="Arial" w:cs="Arial" w:eastAsia="Arial" w:hAnsi="Arial"/>
          <w:sz w:val="19"/>
          <w:szCs w:val="19"/>
          <w:u w:val="single" w:color="auto"/>
          <w:color w:val="auto"/>
        </w:rPr>
        <w:t>SECTION SEVEN - Reference to and Effect on the Credit Agreement</w:t>
      </w:r>
      <w:r>
        <w:rPr>
          <w:rFonts w:ascii="Arial" w:cs="Arial" w:eastAsia="Arial" w:hAnsi="Arial"/>
          <w:sz w:val="19"/>
          <w:szCs w:val="19"/>
          <w:color w:val="auto"/>
        </w:rPr>
        <w:t>. On and after the Fourth Amendment Effective Date, each reference in the Credit Agreement to “this Agreement,” “hereunder,” “hereof” or words of like import referring to the Credit Agreement, shall mean and be a reference to the Credit Agreement as amended by this Fourth Amendment. The Credit Agreement and each of the other Loan Documents, as specifically amended by this Fourth Amendment, are and shall continue to be in full force and effect and are hereby in all respects ratified and confirmed. This Fourth Amendment shall be deemed to be a “Loan Document” for all purposes of the Credit Agreement (as amended hereby) and the other Loan Documents. The execution, delivery and effectiveness of this Fourth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371" w:lineRule="exact"/>
        <w:rPr>
          <w:sz w:val="20"/>
          <w:szCs w:val="20"/>
          <w:color w:val="auto"/>
        </w:rPr>
      </w:pPr>
    </w:p>
    <w:p>
      <w:pPr>
        <w:jc w:val="both"/>
        <w:ind w:left="80" w:firstLine="1297"/>
        <w:spacing w:after="0" w:line="297" w:lineRule="auto"/>
        <w:rPr>
          <w:sz w:val="20"/>
          <w:szCs w:val="20"/>
          <w:color w:val="auto"/>
        </w:rPr>
      </w:pPr>
      <w:r>
        <w:rPr>
          <w:rFonts w:ascii="Arial" w:cs="Arial" w:eastAsia="Arial" w:hAnsi="Arial"/>
          <w:sz w:val="19"/>
          <w:szCs w:val="19"/>
          <w:u w:val="single" w:color="auto"/>
          <w:color w:val="auto"/>
        </w:rPr>
        <w:t>SECTION EIGHT - Execution in Counterparts</w:t>
      </w:r>
      <w:r>
        <w:rPr>
          <w:rFonts w:ascii="Arial" w:cs="Arial" w:eastAsia="Arial" w:hAnsi="Arial"/>
          <w:sz w:val="19"/>
          <w:szCs w:val="19"/>
          <w:color w:val="auto"/>
        </w:rPr>
        <w:t>. This Fourth Amendment may be executed in counterparts (and by different parties hereto on different counterparts), each of which shall constitute an original, but all of which when taken together shall constitute a single contract. This Fourth Amendment shall be binding upon and inure to the benefit of the parties hereto and their respective successors and assigns. Delivery of an executed counterpart of a signature page of this Fourth Amendment by facsimile or electronic .pdf copy shall be effective as delivery of a manually executed counterpart of this Fourth Amendment.</w:t>
      </w:r>
    </w:p>
    <w:p>
      <w:pPr>
        <w:spacing w:after="0" w:line="363"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THIS FOURTH AMENDMENT AND THE RIGHTS AND OBLIGATIONS OF THE PARTIES UNDER THIS FOURTH AMENDMENT SHALL BE GOVERNED BY, AND CONSTRUED AND INTERPRETED IN ACCORDANCE WITH, THE LAWS OF THE STATE OF NEW YORK.</w:t>
      </w:r>
    </w:p>
    <w:p>
      <w:pPr>
        <w:spacing w:after="0" w:line="200" w:lineRule="exact"/>
        <w:rPr>
          <w:sz w:val="20"/>
          <w:szCs w:val="20"/>
          <w:color w:val="auto"/>
        </w:rPr>
      </w:pPr>
    </w:p>
    <w:p>
      <w:pPr>
        <w:spacing w:after="0" w:line="202" w:lineRule="exact"/>
        <w:rPr>
          <w:sz w:val="20"/>
          <w:szCs w:val="20"/>
          <w:color w:val="auto"/>
        </w:rPr>
      </w:pPr>
    </w:p>
    <w:p>
      <w:pPr>
        <w:jc w:val="both"/>
        <w:ind w:left="80" w:firstLine="1297"/>
        <w:spacing w:after="0" w:line="26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(a) The provisions set forth in Sections 10.03, 10.04, 10.05(b)-(d), 10.09, 10.10, 10.11, 10.13, 10.15, 10.16 and 10.17 of the Credit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109" w:name="page110"/>
    <w:bookmarkEnd w:id="109"/>
    <w:p>
      <w:pPr>
        <w:ind w:left="80"/>
        <w:spacing w:after="0"/>
        <w:rPr>
          <w:sz w:val="20"/>
          <w:szCs w:val="20"/>
          <w:color w:val="auto"/>
        </w:rPr>
      </w:pPr>
      <w:r>
        <w:rPr>
          <w:rFonts w:ascii="Arial" w:cs="Arial" w:eastAsia="Arial" w:hAnsi="Arial"/>
          <w:sz w:val="21"/>
          <w:szCs w:val="21"/>
          <w:color w:val="auto"/>
        </w:rPr>
        <w:t>are hereby incorporated mutatis mutandis herein by reference thereto as fully and to the same extent as if set forth herein.</w:t>
      </w:r>
    </w:p>
    <w:p>
      <w:pPr>
        <w:spacing w:after="0" w:line="200" w:lineRule="exact"/>
        <w:rPr>
          <w:sz w:val="20"/>
          <w:szCs w:val="20"/>
          <w:color w:val="auto"/>
        </w:rPr>
      </w:pPr>
    </w:p>
    <w:p>
      <w:pPr>
        <w:spacing w:after="0" w:line="247" w:lineRule="exact"/>
        <w:rPr>
          <w:sz w:val="20"/>
          <w:szCs w:val="20"/>
          <w:color w:val="auto"/>
        </w:rPr>
      </w:pPr>
    </w:p>
    <w:p>
      <w:pPr>
        <w:jc w:val="both"/>
        <w:ind w:firstLine="1305"/>
        <w:spacing w:after="0" w:line="250" w:lineRule="auto"/>
        <w:tabs>
          <w:tab w:leader="none" w:pos="1765" w:val="left"/>
        </w:tabs>
        <w:numPr>
          <w:ilvl w:val="0"/>
          <w:numId w:val="75"/>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Fourth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110" w:name="page111"/>
    <w:bookmarkEnd w:id="110"/>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Fourth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Amelia G.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40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Amelia G. Anderson</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Fourth Amendment to Amended and Restated Credit and Guaranty Agreement (LHR)</w:t>
      </w:r>
    </w:p>
    <w:p>
      <w:pPr>
        <w:sectPr>
          <w:pgSz w:w="11900" w:h="16838" w:orient="portrait"/>
          <w:cols w:equalWidth="0" w:num="1">
            <w:col w:w="11420"/>
          </w:cols>
          <w:pgMar w:left="240" w:top="591" w:right="239" w:bottom="1440" w:gutter="0" w:footer="0" w:header="0"/>
        </w:sectPr>
      </w:pPr>
    </w:p>
    <w:bookmarkStart w:id="111" w:name="page112"/>
    <w:bookmarkEnd w:id="111"/>
    <w:p>
      <w:pPr>
        <w:ind w:left="2700"/>
        <w:spacing w:after="0"/>
        <w:rPr>
          <w:sz w:val="20"/>
          <w:szCs w:val="20"/>
          <w:color w:val="auto"/>
        </w:rPr>
      </w:pPr>
      <w:r>
        <w:rPr>
          <w:rFonts w:ascii="Arial" w:cs="Arial" w:eastAsia="Arial" w:hAnsi="Arial"/>
          <w:sz w:val="22"/>
          <w:szCs w:val="22"/>
          <w:color w:val="auto"/>
        </w:rPr>
        <w:t>CITIBANK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Joseph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426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Joseph Shanahan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Fourth Amendment to Amended and Restated Credit and Guaranty Agreement (LHR)</w:t>
      </w:r>
    </w:p>
    <w:p>
      <w:pPr>
        <w:sectPr>
          <w:pgSz w:w="11900" w:h="16838" w:orient="portrait"/>
          <w:cols w:equalWidth="0" w:num="1">
            <w:col w:w="9019"/>
          </w:cols>
          <w:pgMar w:left="1440" w:top="807" w:right="1440" w:bottom="1440" w:gutter="0" w:footer="0" w:header="0"/>
        </w:sectPr>
      </w:pPr>
    </w:p>
    <w:bookmarkStart w:id="112" w:name="page113"/>
    <w:bookmarkEnd w:id="112"/>
    <w:p>
      <w:pPr>
        <w:ind w:left="10440"/>
        <w:spacing w:after="0"/>
        <w:rPr>
          <w:sz w:val="20"/>
          <w:szCs w:val="20"/>
          <w:color w:val="auto"/>
        </w:rPr>
      </w:pPr>
      <w:r>
        <w:rPr>
          <w:rFonts w:ascii="Arial" w:cs="Arial" w:eastAsia="Arial" w:hAnsi="Arial"/>
          <w:sz w:val="18"/>
          <w:szCs w:val="18"/>
          <w:b w:val="1"/>
          <w:bCs w:val="1"/>
          <w:i w:val="1"/>
          <w:i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and Commitments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520" w:type="dxa"/>
            <w:vAlign w:val="bottom"/>
            <w:tcBorders>
              <w:top w:val="single" w:sz="8" w:color="00000A"/>
              <w:left w:val="single" w:sz="8" w:color="00000A"/>
              <w:right w:val="single" w:sz="8" w:color="00000A"/>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Name of Bank</w:t>
            </w:r>
          </w:p>
        </w:tc>
        <w:tc>
          <w:tcPr>
            <w:tcW w:w="296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Revolving Commitment</w:t>
            </w:r>
          </w:p>
        </w:tc>
        <w:tc>
          <w:tcPr>
            <w:tcW w:w="2960" w:type="dxa"/>
            <w:vAlign w:val="bottom"/>
            <w:tcBorders>
              <w:top w:val="single" w:sz="8" w:color="00000A"/>
              <w:right w:val="single" w:sz="8" w:color="00000A"/>
            </w:tcBorders>
            <w:shd w:val="clear" w:color="auto" w:fill="D9D9D9"/>
          </w:tcPr>
          <w:p>
            <w:pPr>
              <w:ind w:left="740"/>
              <w:spacing w:after="0"/>
              <w:rPr>
                <w:sz w:val="20"/>
                <w:szCs w:val="20"/>
                <w:color w:val="auto"/>
              </w:rPr>
            </w:pPr>
            <w:r>
              <w:rPr>
                <w:rFonts w:ascii="Arial" w:cs="Arial" w:eastAsia="Arial" w:hAnsi="Arial"/>
                <w:sz w:val="20"/>
                <w:szCs w:val="20"/>
                <w:b w:val="1"/>
                <w:bCs w:val="1"/>
                <w:color w:val="auto"/>
              </w:rPr>
              <w:t>LC Commitment</w:t>
            </w:r>
          </w:p>
        </w:tc>
      </w:tr>
      <w:tr>
        <w:trPr>
          <w:trHeight w:val="179"/>
        </w:trPr>
        <w:tc>
          <w:tcPr>
            <w:tcW w:w="5520" w:type="dxa"/>
            <w:vAlign w:val="bottom"/>
            <w:tcBorders>
              <w:left w:val="single" w:sz="8" w:color="00000A"/>
              <w:bottom w:val="single" w:sz="8" w:color="00000A"/>
              <w:right w:val="single" w:sz="8" w:color="00000A"/>
            </w:tcBorders>
            <w:shd w:val="clear" w:color="auto" w:fill="D9D9D9"/>
          </w:tcPr>
          <w:p>
            <w:pPr>
              <w:spacing w:after="0"/>
              <w:rPr>
                <w:sz w:val="15"/>
                <w:szCs w:val="15"/>
                <w:color w:val="auto"/>
              </w:rPr>
            </w:pPr>
          </w:p>
        </w:tc>
        <w:tc>
          <w:tcPr>
            <w:tcW w:w="2960" w:type="dxa"/>
            <w:vAlign w:val="bottom"/>
            <w:tcBorders>
              <w:bottom w:val="single" w:sz="8" w:color="00000A"/>
              <w:right w:val="single" w:sz="8" w:color="00000A"/>
            </w:tcBorders>
            <w:shd w:val="clear" w:color="auto" w:fill="D9D9D9"/>
          </w:tcPr>
          <w:p>
            <w:pPr>
              <w:spacing w:after="0"/>
              <w:rPr>
                <w:sz w:val="15"/>
                <w:szCs w:val="15"/>
                <w:color w:val="auto"/>
              </w:rPr>
            </w:pPr>
          </w:p>
        </w:tc>
        <w:tc>
          <w:tcPr>
            <w:tcW w:w="2960" w:type="dxa"/>
            <w:vAlign w:val="bottom"/>
            <w:tcBorders>
              <w:bottom w:val="single" w:sz="8" w:color="00000A"/>
              <w:right w:val="single" w:sz="8" w:color="00000A"/>
            </w:tcBorders>
            <w:shd w:val="clear" w:color="auto" w:fill="D9D9D9"/>
          </w:tcPr>
          <w:p>
            <w:pPr>
              <w:spacing w:after="0"/>
              <w:rPr>
                <w:sz w:val="15"/>
                <w:szCs w:val="15"/>
                <w:color w:val="auto"/>
              </w:rPr>
            </w:pPr>
          </w:p>
        </w:tc>
      </w:tr>
      <w:tr>
        <w:trPr>
          <w:trHeight w:val="274"/>
        </w:trPr>
        <w:tc>
          <w:tcPr>
            <w:tcW w:w="5520" w:type="dxa"/>
            <w:vAlign w:val="bottom"/>
            <w:tcBorders>
              <w:left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7"/>
              </w:rPr>
              <w:t>$300,000,000</w:t>
            </w:r>
          </w:p>
        </w:tc>
      </w:tr>
      <w:tr>
        <w:trPr>
          <w:trHeight w:val="179"/>
        </w:trPr>
        <w:tc>
          <w:tcPr>
            <w:tcW w:w="5520" w:type="dxa"/>
            <w:vAlign w:val="bottom"/>
            <w:tcBorders>
              <w:left w:val="single" w:sz="8" w:color="00000A"/>
              <w:bottom w:val="single" w:sz="8" w:color="00000A"/>
              <w:right w:val="single" w:sz="8" w:color="00000A"/>
            </w:tcBorders>
          </w:tcPr>
          <w:p>
            <w:pPr>
              <w:spacing w:after="0"/>
              <w:rPr>
                <w:sz w:val="15"/>
                <w:szCs w:val="15"/>
                <w:color w:val="auto"/>
              </w:rPr>
            </w:pPr>
          </w:p>
        </w:tc>
        <w:tc>
          <w:tcPr>
            <w:tcW w:w="2960" w:type="dxa"/>
            <w:vAlign w:val="bottom"/>
            <w:tcBorders>
              <w:bottom w:val="single" w:sz="8" w:color="00000A"/>
              <w:right w:val="single" w:sz="8" w:color="00000A"/>
            </w:tcBorders>
          </w:tcPr>
          <w:p>
            <w:pPr>
              <w:spacing w:after="0"/>
              <w:rPr>
                <w:sz w:val="15"/>
                <w:szCs w:val="15"/>
                <w:color w:val="auto"/>
              </w:rPr>
            </w:pPr>
          </w:p>
        </w:tc>
        <w:tc>
          <w:tcPr>
            <w:tcW w:w="2960" w:type="dxa"/>
            <w:vAlign w:val="bottom"/>
            <w:tcBorders>
              <w:bottom w:val="single" w:sz="8" w:color="00000A"/>
              <w:right w:val="single" w:sz="8" w:color="00000A"/>
            </w:tcBorders>
          </w:tcPr>
          <w:p>
            <w:pPr>
              <w:spacing w:after="0"/>
              <w:rPr>
                <w:sz w:val="15"/>
                <w:szCs w:val="15"/>
                <w:color w:val="auto"/>
              </w:rPr>
            </w:pPr>
          </w:p>
        </w:tc>
      </w:tr>
      <w:tr>
        <w:trPr>
          <w:trHeight w:val="284"/>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91"/>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80"/>
        </w:trPr>
        <w:tc>
          <w:tcPr>
            <w:tcW w:w="5520" w:type="dxa"/>
            <w:vAlign w:val="bottom"/>
            <w:tcBorders>
              <w:left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166"/>
        </w:trPr>
        <w:tc>
          <w:tcPr>
            <w:tcW w:w="5520" w:type="dxa"/>
            <w:vAlign w:val="bottom"/>
            <w:tcBorders>
              <w:left w:val="single" w:sz="8" w:color="00000A"/>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r>
      <w:tr>
        <w:trPr>
          <w:trHeight w:val="284"/>
        </w:trPr>
        <w:tc>
          <w:tcPr>
            <w:tcW w:w="5520" w:type="dxa"/>
            <w:vAlign w:val="bottom"/>
            <w:tcBorders>
              <w:left w:val="single" w:sz="8" w:color="00000A"/>
              <w:bottom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w:t>
            </w:r>
          </w:p>
        </w:tc>
      </w:tr>
      <w:tr>
        <w:trPr>
          <w:trHeight w:val="280"/>
        </w:trPr>
        <w:tc>
          <w:tcPr>
            <w:tcW w:w="5520" w:type="dxa"/>
            <w:vAlign w:val="bottom"/>
            <w:tcBorders>
              <w:left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166"/>
        </w:trPr>
        <w:tc>
          <w:tcPr>
            <w:tcW w:w="5520" w:type="dxa"/>
            <w:vAlign w:val="bottom"/>
            <w:tcBorders>
              <w:left w:val="single" w:sz="8" w:color="00000A"/>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r>
      <w:tr>
        <w:trPr>
          <w:trHeight w:val="274"/>
        </w:trPr>
        <w:tc>
          <w:tcPr>
            <w:tcW w:w="5520" w:type="dxa"/>
            <w:vAlign w:val="bottom"/>
            <w:tcBorders>
              <w:left w:val="single" w:sz="8" w:color="00000A"/>
              <w:right w:val="single" w:sz="8" w:color="00000A"/>
            </w:tcBorders>
          </w:tcPr>
          <w:p>
            <w:pPr>
              <w:ind w:left="2420"/>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[*CTR]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w:t>
            </w:r>
          </w:p>
        </w:tc>
      </w:tr>
      <w:tr>
        <w:trPr>
          <w:trHeight w:val="166"/>
        </w:trPr>
        <w:tc>
          <w:tcPr>
            <w:tcW w:w="5520" w:type="dxa"/>
            <w:vAlign w:val="bottom"/>
            <w:tcBorders>
              <w:left w:val="single" w:sz="8" w:color="00000A"/>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spacing w:after="0"/>
              <w:rPr>
                <w:sz w:val="14"/>
                <w:szCs w:val="14"/>
                <w:color w:val="auto"/>
              </w:rPr>
            </w:pPr>
          </w:p>
        </w:tc>
      </w:tr>
      <w:tr>
        <w:trPr>
          <w:trHeight w:val="274"/>
        </w:trPr>
        <w:tc>
          <w:tcPr>
            <w:tcW w:w="5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Total</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$1,000,000,000</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$300,000,000</w:t>
            </w:r>
          </w:p>
        </w:tc>
      </w:tr>
      <w:tr>
        <w:trPr>
          <w:trHeight w:val="179"/>
        </w:trPr>
        <w:tc>
          <w:tcPr>
            <w:tcW w:w="5520" w:type="dxa"/>
            <w:vAlign w:val="bottom"/>
            <w:tcBorders>
              <w:left w:val="single" w:sz="8" w:color="00000A"/>
              <w:bottom w:val="single" w:sz="8" w:color="00000A"/>
              <w:right w:val="single" w:sz="8" w:color="00000A"/>
            </w:tcBorders>
          </w:tcPr>
          <w:p>
            <w:pPr>
              <w:spacing w:after="0"/>
              <w:rPr>
                <w:sz w:val="15"/>
                <w:szCs w:val="15"/>
                <w:color w:val="auto"/>
              </w:rPr>
            </w:pPr>
          </w:p>
        </w:tc>
        <w:tc>
          <w:tcPr>
            <w:tcW w:w="2960" w:type="dxa"/>
            <w:vAlign w:val="bottom"/>
            <w:tcBorders>
              <w:bottom w:val="single" w:sz="8" w:color="00000A"/>
              <w:right w:val="single" w:sz="8" w:color="00000A"/>
            </w:tcBorders>
          </w:tcPr>
          <w:p>
            <w:pPr>
              <w:spacing w:after="0"/>
              <w:rPr>
                <w:sz w:val="15"/>
                <w:szCs w:val="15"/>
                <w:color w:val="auto"/>
              </w:rPr>
            </w:pPr>
          </w:p>
        </w:tc>
        <w:tc>
          <w:tcPr>
            <w:tcW w:w="2960" w:type="dxa"/>
            <w:vAlign w:val="bottom"/>
            <w:tcBorders>
              <w:bottom w:val="single" w:sz="8" w:color="00000A"/>
              <w:right w:val="single" w:sz="8" w:color="00000A"/>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807"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12.1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jc w:val="center"/>
              <w:ind w:left="2099"/>
              <w:spacing w:after="0"/>
              <w:rPr>
                <w:sz w:val="20"/>
                <w:szCs w:val="20"/>
                <w:color w:val="auto"/>
              </w:rPr>
            </w:pPr>
            <w:r>
              <w:rPr>
                <w:rFonts w:ascii="Arial" w:cs="Arial" w:eastAsia="Arial" w:hAnsi="Arial"/>
                <w:sz w:val="16"/>
                <w:szCs w:val="16"/>
                <w:b w:val="1"/>
                <w:bCs w:val="1"/>
                <w:color w:val="auto"/>
              </w:rPr>
              <w:t>American Airlines Group Inc.</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9"/>
        </w:trPr>
        <w:tc>
          <w:tcPr>
            <w:tcW w:w="9260" w:type="dxa"/>
            <w:vAlign w:val="bottom"/>
          </w:tcPr>
          <w:p>
            <w:pPr>
              <w:jc w:val="center"/>
              <w:ind w:left="2079"/>
              <w:spacing w:after="0"/>
              <w:rPr>
                <w:sz w:val="20"/>
                <w:szCs w:val="20"/>
                <w:color w:val="auto"/>
              </w:rPr>
            </w:pPr>
            <w:r>
              <w:rPr>
                <w:rFonts w:ascii="Arial" w:cs="Arial" w:eastAsia="Arial" w:hAnsi="Arial"/>
                <w:sz w:val="16"/>
                <w:szCs w:val="16"/>
                <w:b w:val="1"/>
                <w:bCs w:val="1"/>
                <w:color w:val="auto"/>
              </w:rPr>
              <w:t>Computation of Ratio of Earnings to Fixed Charges</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5"/>
        </w:trPr>
        <w:tc>
          <w:tcPr>
            <w:tcW w:w="9260" w:type="dxa"/>
            <w:vAlign w:val="bottom"/>
          </w:tcPr>
          <w:p>
            <w:pPr>
              <w:jc w:val="center"/>
              <w:ind w:left="2079"/>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535"/>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279"/>
              <w:spacing w:after="0"/>
              <w:rPr>
                <w:sz w:val="20"/>
                <w:szCs w:val="20"/>
                <w:color w:val="auto"/>
              </w:rPr>
            </w:pPr>
            <w:r>
              <w:rPr>
                <w:rFonts w:ascii="Arial" w:cs="Arial" w:eastAsia="Arial" w:hAnsi="Arial"/>
                <w:sz w:val="16"/>
                <w:szCs w:val="16"/>
                <w:color w:val="auto"/>
              </w:rPr>
              <w:t>Nine Months Ended</w:t>
            </w:r>
          </w:p>
        </w:tc>
      </w:tr>
      <w:tr>
        <w:trPr>
          <w:trHeight w:val="208"/>
        </w:trPr>
        <w:tc>
          <w:tcPr>
            <w:tcW w:w="9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September 30, 2017</w:t>
            </w:r>
          </w:p>
        </w:tc>
      </w:tr>
      <w:tr>
        <w:trPr>
          <w:trHeight w:val="257"/>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2,659</w:t>
            </w:r>
          </w:p>
        </w:tc>
      </w:tr>
      <w:tr>
        <w:trPr>
          <w:trHeight w:val="260"/>
        </w:trPr>
        <w:tc>
          <w:tcPr>
            <w:tcW w:w="9260" w:type="dxa"/>
            <w:vAlign w:val="bottom"/>
          </w:tcPr>
          <w:p>
            <w:pPr>
              <w:ind w:left="200"/>
              <w:spacing w:after="0"/>
              <w:rPr>
                <w:sz w:val="20"/>
                <w:szCs w:val="20"/>
                <w:color w:val="auto"/>
              </w:rPr>
            </w:pPr>
            <w:r>
              <w:rPr>
                <w:rFonts w:ascii="Arial" w:cs="Arial" w:eastAsia="Arial" w:hAnsi="Arial"/>
                <w:sz w:val="16"/>
                <w:szCs w:val="16"/>
                <w:color w:val="auto"/>
              </w:rPr>
              <w:t>Add: Total fixed charges (per below)</w:t>
            </w:r>
          </w:p>
        </w:tc>
        <w:tc>
          <w:tcPr>
            <w:tcW w:w="2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1,574</w:t>
            </w:r>
          </w:p>
        </w:tc>
      </w:tr>
      <w:tr>
        <w:trPr>
          <w:trHeight w:val="273"/>
        </w:trPr>
        <w:tc>
          <w:tcPr>
            <w:tcW w:w="9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Interest capitalized</w:t>
            </w: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80"/>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earnings before income taxes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4,198</w:t>
            </w:r>
          </w:p>
        </w:tc>
      </w:tr>
      <w:tr>
        <w:trPr>
          <w:trHeight w:val="254"/>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p>
        </w:tc>
        <w:tc>
          <w:tcPr>
            <w:tcW w:w="2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60"/>
        </w:trPr>
        <w:tc>
          <w:tcPr>
            <w:tcW w:w="9260" w:type="dxa"/>
            <w:vAlign w:val="bottom"/>
          </w:tcPr>
          <w:p>
            <w:pPr>
              <w:ind w:left="200"/>
              <w:spacing w:after="0"/>
              <w:rPr>
                <w:sz w:val="20"/>
                <w:szCs w:val="20"/>
                <w:color w:val="auto"/>
              </w:rPr>
            </w:pPr>
            <w:r>
              <w:rPr>
                <w:rFonts w:ascii="Arial" w:cs="Arial" w:eastAsia="Arial" w:hAnsi="Arial"/>
                <w:sz w:val="16"/>
                <w:szCs w:val="16"/>
                <w:color w:val="auto"/>
              </w:rPr>
              <w:t>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822</w:t>
            </w:r>
          </w:p>
        </w:tc>
      </w:tr>
      <w:tr>
        <w:trPr>
          <w:trHeight w:val="273"/>
        </w:trPr>
        <w:tc>
          <w:tcPr>
            <w:tcW w:w="9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Portion of rental expense representative of the interest factor</w:t>
            </w: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r>
      <w:tr>
        <w:trPr>
          <w:trHeight w:val="250"/>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fixed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1,574</w:t>
            </w:r>
          </w:p>
        </w:tc>
      </w:tr>
      <w:tr>
        <w:trPr>
          <w:trHeight w:val="24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earnings to fixed charges</w:t>
            </w: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12.2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jc w:val="center"/>
              <w:ind w:left="2079"/>
              <w:spacing w:after="0"/>
              <w:rPr>
                <w:sz w:val="20"/>
                <w:szCs w:val="20"/>
                <w:color w:val="auto"/>
              </w:rPr>
            </w:pPr>
            <w:r>
              <w:rPr>
                <w:rFonts w:ascii="Arial" w:cs="Arial" w:eastAsia="Arial" w:hAnsi="Arial"/>
                <w:sz w:val="16"/>
                <w:szCs w:val="16"/>
                <w:b w:val="1"/>
                <w:bCs w:val="1"/>
                <w:color w:val="auto"/>
              </w:rPr>
              <w:t>American Airlines, Inc.</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9"/>
        </w:trPr>
        <w:tc>
          <w:tcPr>
            <w:tcW w:w="9260" w:type="dxa"/>
            <w:vAlign w:val="bottom"/>
          </w:tcPr>
          <w:p>
            <w:pPr>
              <w:jc w:val="center"/>
              <w:ind w:left="2079"/>
              <w:spacing w:after="0"/>
              <w:rPr>
                <w:sz w:val="20"/>
                <w:szCs w:val="20"/>
                <w:color w:val="auto"/>
              </w:rPr>
            </w:pPr>
            <w:r>
              <w:rPr>
                <w:rFonts w:ascii="Arial" w:cs="Arial" w:eastAsia="Arial" w:hAnsi="Arial"/>
                <w:sz w:val="16"/>
                <w:szCs w:val="16"/>
                <w:b w:val="1"/>
                <w:bCs w:val="1"/>
                <w:color w:val="auto"/>
              </w:rPr>
              <w:t>Computation of Ratio of Earnings to Fixed Charges</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5"/>
        </w:trPr>
        <w:tc>
          <w:tcPr>
            <w:tcW w:w="9260" w:type="dxa"/>
            <w:vAlign w:val="bottom"/>
          </w:tcPr>
          <w:p>
            <w:pPr>
              <w:jc w:val="center"/>
              <w:ind w:left="2079"/>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535"/>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279"/>
              <w:spacing w:after="0"/>
              <w:rPr>
                <w:sz w:val="20"/>
                <w:szCs w:val="20"/>
                <w:color w:val="auto"/>
              </w:rPr>
            </w:pPr>
            <w:r>
              <w:rPr>
                <w:rFonts w:ascii="Arial" w:cs="Arial" w:eastAsia="Arial" w:hAnsi="Arial"/>
                <w:sz w:val="16"/>
                <w:szCs w:val="16"/>
                <w:color w:val="auto"/>
              </w:rPr>
              <w:t>Nine Months Ended</w:t>
            </w:r>
          </w:p>
        </w:tc>
      </w:tr>
      <w:tr>
        <w:trPr>
          <w:trHeight w:val="208"/>
        </w:trPr>
        <w:tc>
          <w:tcPr>
            <w:tcW w:w="9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September 30, 2017</w:t>
            </w:r>
          </w:p>
        </w:tc>
      </w:tr>
      <w:tr>
        <w:trPr>
          <w:trHeight w:val="257"/>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2,784</w:t>
            </w:r>
          </w:p>
        </w:tc>
      </w:tr>
      <w:tr>
        <w:trPr>
          <w:trHeight w:val="260"/>
        </w:trPr>
        <w:tc>
          <w:tcPr>
            <w:tcW w:w="9260" w:type="dxa"/>
            <w:vAlign w:val="bottom"/>
          </w:tcPr>
          <w:p>
            <w:pPr>
              <w:ind w:left="200"/>
              <w:spacing w:after="0"/>
              <w:rPr>
                <w:sz w:val="20"/>
                <w:szCs w:val="20"/>
                <w:color w:val="auto"/>
              </w:rPr>
            </w:pPr>
            <w:r>
              <w:rPr>
                <w:rFonts w:ascii="Arial" w:cs="Arial" w:eastAsia="Arial" w:hAnsi="Arial"/>
                <w:sz w:val="16"/>
                <w:szCs w:val="16"/>
                <w:color w:val="auto"/>
              </w:rPr>
              <w:t>Add: Total fixed charges (per below)</w:t>
            </w:r>
          </w:p>
        </w:tc>
        <w:tc>
          <w:tcPr>
            <w:tcW w:w="2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1,518</w:t>
            </w:r>
          </w:p>
        </w:tc>
      </w:tr>
      <w:tr>
        <w:trPr>
          <w:trHeight w:val="273"/>
        </w:trPr>
        <w:tc>
          <w:tcPr>
            <w:tcW w:w="9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Interest capitalized</w:t>
            </w: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80"/>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earnings before income taxes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4,266</w:t>
            </w:r>
          </w:p>
        </w:tc>
      </w:tr>
      <w:tr>
        <w:trPr>
          <w:trHeight w:val="254"/>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p>
        </w:tc>
        <w:tc>
          <w:tcPr>
            <w:tcW w:w="2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60"/>
        </w:trPr>
        <w:tc>
          <w:tcPr>
            <w:tcW w:w="9260" w:type="dxa"/>
            <w:vAlign w:val="bottom"/>
          </w:tcPr>
          <w:p>
            <w:pPr>
              <w:ind w:left="200"/>
              <w:spacing w:after="0"/>
              <w:rPr>
                <w:sz w:val="20"/>
                <w:szCs w:val="20"/>
                <w:color w:val="auto"/>
              </w:rPr>
            </w:pPr>
            <w:r>
              <w:rPr>
                <w:rFonts w:ascii="Arial" w:cs="Arial" w:eastAsia="Arial" w:hAnsi="Arial"/>
                <w:sz w:val="16"/>
                <w:szCs w:val="16"/>
                <w:color w:val="auto"/>
              </w:rPr>
              <w:t>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774</w:t>
            </w:r>
          </w:p>
        </w:tc>
      </w:tr>
      <w:tr>
        <w:trPr>
          <w:trHeight w:val="273"/>
        </w:trPr>
        <w:tc>
          <w:tcPr>
            <w:tcW w:w="9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Portion of rental expense representative of the interest factor</w:t>
            </w: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744</w:t>
            </w:r>
          </w:p>
        </w:tc>
      </w:tr>
      <w:tr>
        <w:trPr>
          <w:trHeight w:val="250"/>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fixed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1,518</w:t>
            </w:r>
          </w:p>
        </w:tc>
      </w:tr>
      <w:tr>
        <w:trPr>
          <w:trHeight w:val="24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earnings to fixed charges</w:t>
            </w: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54"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CEO 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94"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Date: October 26, 2017</w:t>
      </w:r>
    </w:p>
    <w:p>
      <w:pPr>
        <w:spacing w:after="0" w:line="194"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19050</wp:posOffset>
            </wp:positionV>
            <wp:extent cx="19551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Name: W. Douglas Parker</w:t>
      </w:r>
    </w:p>
    <w:p>
      <w:pPr>
        <w:spacing w:after="0" w:line="86" w:lineRule="exact"/>
        <w:rPr>
          <w:sz w:val="20"/>
          <w:szCs w:val="20"/>
          <w:color w:val="auto"/>
        </w:rPr>
      </w:pPr>
    </w:p>
    <w:p>
      <w:pPr>
        <w:ind w:left="7280"/>
        <w:spacing w:after="0"/>
        <w:tabs>
          <w:tab w:leader="none" w:pos="7840" w:val="left"/>
        </w:tabs>
        <w:rPr>
          <w:sz w:val="20"/>
          <w:szCs w:val="20"/>
          <w:color w:val="auto"/>
        </w:rPr>
      </w:pPr>
      <w:r>
        <w:rPr>
          <w:rFonts w:ascii="Arial" w:cs="Arial" w:eastAsia="Arial" w:hAnsi="Arial"/>
          <w:sz w:val="16"/>
          <w:szCs w:val="16"/>
          <w:color w:val="auto"/>
        </w:rPr>
        <w:t>Title:</w:t>
        <w:tab/>
        <w:t>Chief Executive Officer</w:t>
      </w:r>
    </w:p>
    <w:p>
      <w:pPr>
        <w:sectPr>
          <w:pgSz w:w="11900" w:h="16838" w:orient="portrait"/>
          <w:cols w:equalWidth="0" w:num="1">
            <w:col w:w="11420"/>
          </w:cols>
          <w:pgMar w:left="240" w:top="55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CFO 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94"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Date: October 26, 2017</w:t>
      </w:r>
    </w:p>
    <w:p>
      <w:pPr>
        <w:spacing w:after="0" w:line="194"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19050</wp:posOffset>
            </wp:positionV>
            <wp:extent cx="21697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66"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Name: Derek J. Kerr</w:t>
      </w:r>
    </w:p>
    <w:p>
      <w:pPr>
        <w:spacing w:after="0" w:line="86"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Title: Executive Vice President and Chief</w:t>
      </w:r>
    </w:p>
    <w:p>
      <w:pPr>
        <w:spacing w:after="0" w:line="86"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Financial Officer</w:t>
      </w:r>
    </w:p>
    <w:p>
      <w:pPr>
        <w:sectPr>
          <w:pgSz w:w="11900" w:h="16838" w:orient="portrait"/>
          <w:cols w:equalWidth="0" w:num="1">
            <w:col w:w="11420"/>
          </w:cols>
          <w:pgMar w:left="240" w:top="55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31.3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CEO 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9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Date: October 26, 2017</w:t>
      </w:r>
    </w:p>
    <w:p>
      <w:pPr>
        <w:spacing w:after="0" w:line="194"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19050</wp:posOffset>
            </wp:positionV>
            <wp:extent cx="21697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66"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Name: W. Douglas Parker</w:t>
      </w:r>
    </w:p>
    <w:p>
      <w:pPr>
        <w:spacing w:after="0" w:line="86"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11420"/>
          </w:cols>
          <w:pgMar w:left="240" w:top="55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31.4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CFO 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94"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Date: October 26, 2017</w:t>
      </w:r>
    </w:p>
    <w:p>
      <w:pPr>
        <w:spacing w:after="0" w:line="194"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19050</wp:posOffset>
            </wp:positionV>
            <wp:extent cx="21697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66"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Name: Derek J. Kerr</w:t>
      </w:r>
    </w:p>
    <w:p>
      <w:pPr>
        <w:spacing w:after="0" w:line="86"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Title: Executive Vice President and Chief</w:t>
      </w:r>
    </w:p>
    <w:p>
      <w:pPr>
        <w:spacing w:after="0" w:line="86"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Financial Officer</w:t>
      </w:r>
    </w:p>
    <w:p>
      <w:pPr>
        <w:sectPr>
          <w:pgSz w:w="11900" w:h="16838" w:orient="portrait"/>
          <w:cols w:equalWidth="0" w:num="1">
            <w:col w:w="11420"/>
          </w:cols>
          <w:pgMar w:left="240" w:top="553"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5"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American Airlines Group Inc. (the “Company”) for the quarterly period ended September 30, 2017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76"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012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W. Douglas Parker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Title: Chief Executive Officer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October 26, 2017</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012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Derek J. Kerr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October 26, 2017</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55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5"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American Airlines, Inc. (the “Company”) for the quarterly period ended September 30, 2017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7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012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W. Douglas Parker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Title: Chief Executive Officer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October 26, 2017</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012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Derek J. Kerr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October 26, 2017</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decimal"/>
      <w:start w:val="2"/>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5"/>
    </w:lvl>
  </w:abstractNum>
  <w:abstractNum w:abstractNumId="4">
    <w:nsid w:val="2A487CB0"/>
    <w:multiLevelType w:val="hybridMultilevel"/>
    <w:lvl w:ilvl="0">
      <w:lvlJc w:val="left"/>
      <w:lvlText w:val="%1"/>
      <w:numFmt w:val="upperLetter"/>
      <w:start w:val="27"/>
    </w:lvl>
  </w:abstractNum>
  <w:abstractNum w:abstractNumId="5">
    <w:nsid w:val="1D4ED43B"/>
    <w:multiLevelType w:val="hybridMultilevel"/>
    <w:lvl w:ilvl="0">
      <w:lvlJc w:val="left"/>
      <w:lvlText w:val="%1."/>
      <w:numFmt w:val="decimal"/>
      <w:start w:val="7"/>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2"/>
    </w:lvl>
  </w:abstractNum>
  <w:abstractNum w:abstractNumId="9">
    <w:nsid w:val="7A6D8D3C"/>
    <w:multiLevelType w:val="hybridMultilevel"/>
    <w:lvl w:ilvl="0">
      <w:lvlJc w:val="left"/>
      <w:lvlText w:val="%1."/>
      <w:numFmt w:val="decimal"/>
      <w:start w:val="2"/>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upperLetter"/>
      <w:start w:val="27"/>
    </w:lvl>
  </w:abstractNum>
  <w:abstractNum w:abstractNumId="12">
    <w:nsid w:val="6DE91B18"/>
    <w:multiLevelType w:val="hybridMultilevel"/>
    <w:lvl w:ilvl="0">
      <w:lvlJc w:val="left"/>
      <w:lvlText w:val="%1."/>
      <w:numFmt w:val="decimal"/>
      <w:start w:val="5"/>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6"/>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9"/>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endash "/>
      <w:numFmt w:val="bullet"/>
      <w:start w:val="1"/>
    </w:lvl>
  </w:abstractNum>
  <w:abstractNum w:abstractNumId="19">
    <w:nsid w:val="3DC240FB"/>
    <w:multiLevelType w:val="hybridMultilevel"/>
    <w:lvl w:ilvl="0">
      <w:lvlJc w:val="left"/>
      <w:lvlText w:val="%1."/>
      <w:numFmt w:val="decimal"/>
      <w:start w:val="1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lowerLetter"/>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2"/>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2"/>
    </w:lvl>
  </w:abstractNum>
  <w:abstractNum w:abstractNumId="46">
    <w:nsid w:val="310C50B3"/>
    <w:multiLevelType w:val="hybridMultilevel"/>
    <w:lvl w:ilvl="0">
      <w:lvlJc w:val="left"/>
      <w:lvlText w:val="(%1)"/>
      <w:numFmt w:val="lowerLetter"/>
      <w:start w:val="3"/>
    </w:lvl>
  </w:abstractNum>
  <w:abstractNum w:abstractNumId="47">
    <w:nsid w:val="5FF87E05"/>
    <w:multiLevelType w:val="hybridMultilevel"/>
    <w:lvl w:ilvl="0">
      <w:lvlJc w:val="left"/>
      <w:lvlText w:val="(%1)"/>
      <w:numFmt w:val="lowerLetter"/>
      <w:start w:val="5"/>
    </w:lvl>
  </w:abstractNum>
  <w:abstractNum w:abstractNumId="48">
    <w:nsid w:val="2F305DEF"/>
    <w:multiLevelType w:val="hybridMultilevel"/>
    <w:lvl w:ilvl="0">
      <w:lvlJc w:val="left"/>
      <w:lvlText w:val="(%1)"/>
      <w:numFmt w:val="lowerLetter"/>
      <w:start w:val="6"/>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Letter"/>
      <w:start w:val="2"/>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7"/>
    </w:lvl>
  </w:abstractNum>
  <w:abstractNum w:abstractNumId="53">
    <w:nsid w:val="1381823A"/>
    <w:multiLevelType w:val="hybridMultilevel"/>
    <w:lvl w:ilvl="0">
      <w:lvlJc w:val="left"/>
      <w:lvlText w:val="(%1)"/>
      <w:numFmt w:val="lowerRoman"/>
      <w:start w:val="2"/>
    </w:lvl>
  </w:abstractNum>
  <w:abstractNum w:abstractNumId="54">
    <w:nsid w:val="5DB70AE5"/>
    <w:multiLevelType w:val="hybridMultilevel"/>
    <w:lvl w:ilvl="0">
      <w:lvlJc w:val="left"/>
      <w:lvlText w:val="(%1)"/>
      <w:numFmt w:val="lowerLetter"/>
      <w:start w:val="2"/>
    </w:lvl>
  </w:abstractNum>
  <w:abstractNum w:abstractNumId="55">
    <w:nsid w:val="100F8FCA"/>
    <w:multiLevelType w:val="hybridMultilevel"/>
    <w:lvl w:ilvl="0">
      <w:lvlJc w:val="left"/>
      <w:lvlText w:val="(%1)"/>
      <w:numFmt w:val="lowerLetter"/>
      <w:start w:val="5"/>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2"/>
    </w:lvl>
  </w:abstractNum>
  <w:abstractNum w:abstractNumId="58">
    <w:nsid w:val="5F5E7FD0"/>
    <w:multiLevelType w:val="hybridMultilevel"/>
    <w:lvl w:ilvl="0">
      <w:lvlJc w:val="left"/>
      <w:lvlText w:val="(%1)"/>
      <w:numFmt w:val="lowerLetter"/>
      <w:start w:val="3"/>
    </w:lvl>
  </w:abstractNum>
  <w:abstractNum w:abstractNumId="59">
    <w:nsid w:val="98A3148"/>
    <w:multiLevelType w:val="hybridMultilevel"/>
    <w:lvl w:ilvl="0">
      <w:lvlJc w:val="left"/>
      <w:lvlText w:val="(%1)"/>
      <w:numFmt w:val="lowerLetter"/>
      <w:start w:val="4"/>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3"/>
    </w:lvl>
  </w:abstractNum>
  <w:abstractNum w:abstractNumId="62">
    <w:nsid w:val="42C296BD"/>
    <w:multiLevelType w:val="hybridMultilevel"/>
    <w:lvl w:ilvl="0">
      <w:lvlJc w:val="left"/>
      <w:lvlText w:val="%1"/>
      <w:numFmt w:val="lowerLetter"/>
      <w:start w:val="1"/>
    </w:lvl>
    <w:lvl w:ilvl="1">
      <w:lvlJc w:val="left"/>
      <w:lvlText w:val="(%2)"/>
      <w:numFmt w:val="lowerLetter"/>
      <w:start w:val="1"/>
    </w:lvl>
  </w:abstractNum>
  <w:abstractNum w:abstractNumId="63">
    <w:nsid w:val="168E121F"/>
    <w:multiLevelType w:val="hybridMultilevel"/>
    <w:lvl w:ilvl="0">
      <w:lvlJc w:val="left"/>
      <w:lvlText w:val="(%1)"/>
      <w:numFmt w:val="lowerLetter"/>
      <w:start w:val="9"/>
    </w:lvl>
    <w:lvl w:ilvl="1">
      <w:lvlJc w:val="left"/>
      <w:lvlText w:val="(%2)"/>
      <w:numFmt w:val="lowerLetter"/>
      <w:start w:val="7"/>
    </w:lvl>
  </w:abstractNum>
  <w:abstractNum w:abstractNumId="64">
    <w:nsid w:val="1EBA5D23"/>
    <w:multiLevelType w:val="hybridMultilevel"/>
    <w:lvl w:ilvl="0">
      <w:lvlJc w:val="left"/>
      <w:lvlText w:val="(%1)"/>
      <w:numFmt w:val="lowerLetter"/>
      <w:start w:val="8"/>
    </w:lvl>
  </w:abstractNum>
  <w:abstractNum w:abstractNumId="65">
    <w:nsid w:val="661E3F1E"/>
    <w:multiLevelType w:val="hybridMultilevel"/>
    <w:lvl w:ilvl="0">
      <w:lvlJc w:val="left"/>
      <w:lvlText w:val="(%1)"/>
      <w:numFmt w:val="lowerLetter"/>
      <w:start w:val="2"/>
    </w:lvl>
  </w:abstractNum>
  <w:abstractNum w:abstractNumId="66">
    <w:nsid w:val="5DC79EA8"/>
    <w:multiLevelType w:val="hybridMultilevel"/>
    <w:lvl w:ilvl="0">
      <w:lvlJc w:val="left"/>
      <w:lvlText w:val="(%1)"/>
      <w:numFmt w:val="lowerLetter"/>
      <w:start w:val="5"/>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2"/>
    </w:lvl>
  </w:abstractNum>
  <w:abstractNum w:abstractNumId="69">
    <w:nsid w:val="51D9C564"/>
    <w:multiLevelType w:val="hybridMultilevel"/>
    <w:lvl w:ilvl="0">
      <w:lvlJc w:val="left"/>
      <w:lvlText w:val="(%1)"/>
      <w:numFmt w:val="lowerLetter"/>
      <w:start w:val="3"/>
    </w:lvl>
  </w:abstractNum>
  <w:abstractNum w:abstractNumId="70">
    <w:nsid w:val="613EFDC5"/>
    <w:multiLevelType w:val="hybridMultilevel"/>
    <w:lvl w:ilvl="0">
      <w:lvlJc w:val="left"/>
      <w:lvlText w:val="(%1)"/>
      <w:numFmt w:val="lowerLetter"/>
      <w:start w:val="4"/>
    </w:lvl>
  </w:abstractNum>
  <w:abstractNum w:abstractNumId="71">
    <w:nsid w:val="BF72B14"/>
    <w:multiLevelType w:val="hybridMultilevel"/>
    <w:lvl w:ilvl="0">
      <w:lvlJc w:val="left"/>
      <w:lvlText w:val="(%1)"/>
      <w:numFmt w:val="lowerLetter"/>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lowerLetter"/>
      <w:start w:val="8"/>
    </w:lvl>
  </w:abstractNum>
  <w:abstractNum w:abstractNumId="74">
    <w:nsid w:val="A0382C5"/>
    <w:multiLevelType w:val="hybridMultilevel"/>
    <w:lvl w:ilvl="0">
      <w:lvlJc w:val="left"/>
      <w:lvlText w:val="(%1)"/>
      <w:numFmt w:val="lowerLetter"/>
      <w:start w:val="2"/>
    </w:lvl>
  </w:abstractNum>
  <w:abstractNum w:abstractNumId="75">
    <w:nsid w:val="8F2B15E"/>
    <w:multiLevelType w:val="hybridMultilevel"/>
    <w:lvl w:ilvl="0">
      <w:lvlJc w:val="left"/>
      <w:lvlText w:val="%1."/>
      <w:numFmt w:val="decimal"/>
      <w:start w:val="1"/>
    </w:lvl>
    <w:lvl w:ilvl="1">
      <w:lvlJc w:val="left"/>
      <w:lvlText w:val="(%2)"/>
      <w:numFmt w:val="lowerLetter"/>
      <w:start w:val="1"/>
    </w:lvl>
  </w:abstractNum>
  <w:abstractNum w:abstractNumId="76">
    <w:nsid w:val="1A32234B"/>
    <w:multiLevelType w:val="hybridMultilevel"/>
    <w:lvl w:ilvl="0">
      <w:lvlJc w:val="left"/>
      <w:lvlText w:val="%1."/>
      <w:numFmt w:val="decimal"/>
      <w:start w:val="1"/>
    </w:lvl>
    <w:lvl w:ilvl="1">
      <w:lvlJc w:val="left"/>
      <w:lvlText w:val="(%2)"/>
      <w:numFmt w:val="low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61" Type="http://schemas.openxmlformats.org/officeDocument/2006/relationships/hyperlink" Target="http://www.sec.gov/Archives/edgar/data/4515/000119312514343482/d790263dex41.htm" TargetMode="External"/><Relationship Id="rId62" Type="http://schemas.openxmlformats.org/officeDocument/2006/relationships/hyperlink" Target="http://www.sec.gov/Archives/edgar/data/4515/000119312517257245/d376721dex42.htm" TargetMode="External"/><Relationship Id="rId63" Type="http://schemas.openxmlformats.org/officeDocument/2006/relationships/hyperlink" Target="http://www.sec.gov/Archives/edgar/data/4515/000119312517257245/d376721dex43.htm" TargetMode="External"/><Relationship Id="rId64" Type="http://schemas.openxmlformats.org/officeDocument/2006/relationships/hyperlink" Target="http://www.sec.gov/Archives/edgar/data/4515/000119312517257245/d376721dex44.htm" TargetMode="External"/><Relationship Id="rId65" Type="http://schemas.openxmlformats.org/officeDocument/2006/relationships/hyperlink" Target="http://www.sec.gov/Archives/edgar/data/4515/000119312517257245/d376721dex45.htm" TargetMode="External"/><Relationship Id="rId66" Type="http://schemas.openxmlformats.org/officeDocument/2006/relationships/hyperlink" Target="http://www.sec.gov/Archives/edgar/data/4515/000119312517257245/d376721dex46.htm" TargetMode="External"/><Relationship Id="rId67" Type="http://schemas.openxmlformats.org/officeDocument/2006/relationships/hyperlink" Target="http://www.sec.gov/Archives/edgar/data/4515/000119312517257245/d376721dex47.htm" TargetMode="External"/><Relationship Id="rId68" Type="http://schemas.openxmlformats.org/officeDocument/2006/relationships/hyperlink" Target="http://www.sec.gov/Archives/edgar/data/4515/000119312517257245/d376721dex48.htm" TargetMode="External"/><Relationship Id="rId69" Type="http://schemas.openxmlformats.org/officeDocument/2006/relationships/hyperlink" Target="http://www.sec.gov/Archives/edgar/data/4515/000119312517257245/d376721dex49.htm" TargetMode="External"/><Relationship Id="rId70" Type="http://schemas.openxmlformats.org/officeDocument/2006/relationships/hyperlink" Target="http://www.sec.gov/Archives/edgar/data/4515/000119312517257245/d376721dex414.htm" TargetMode="External"/><Relationship Id="rId71" Type="http://schemas.openxmlformats.org/officeDocument/2006/relationships/hyperlink" Target="http://www.sec.gov/Archives/edgar/data/4515/000119312517257245/d376721dex4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2019-12-29T03:58:17Z</dcterms:created>
  <dcterms:modified xsi:type="dcterms:W3CDTF">2019-12-29T03:58:17Z</dcterms:modified>
</cp:coreProperties>
</file>