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60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333-236503</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10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10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vMerge w:val="restart"/>
          </w:tcPr>
          <w:p>
            <w:pPr>
              <w:jc w:val="center"/>
              <w:ind w:left="3"/>
              <w:spacing w:after="0"/>
              <w:rPr>
                <w:sz w:val="20"/>
                <w:szCs w:val="20"/>
                <w:color w:val="auto"/>
              </w:rPr>
            </w:pPr>
            <w:r>
              <w:rPr>
                <w:rFonts w:ascii="Arial" w:cs="Arial" w:eastAsia="Arial" w:hAnsi="Arial"/>
                <w:sz w:val="14"/>
                <w:szCs w:val="14"/>
                <w:b w:val="1"/>
                <w:bCs w:val="1"/>
                <w:color w:val="auto"/>
                <w:w w:val="93"/>
              </w:rPr>
              <w:t>Amount to be</w:t>
            </w:r>
          </w:p>
        </w:tc>
        <w:tc>
          <w:tcPr>
            <w:tcW w:w="20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Proposed maximum</w:t>
            </w:r>
          </w:p>
        </w:tc>
        <w:tc>
          <w:tcPr>
            <w:tcW w:w="16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Proposed maximum</w:t>
            </w:r>
          </w:p>
        </w:tc>
        <w:tc>
          <w:tcPr>
            <w:tcW w:w="1520" w:type="dxa"/>
            <w:vAlign w:val="bottom"/>
          </w:tcPr>
          <w:p>
            <w:pPr>
              <w:jc w:val="center"/>
              <w:ind w:left="18"/>
              <w:spacing w:after="0" w:line="116"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8"/>
        </w:trPr>
        <w:tc>
          <w:tcPr>
            <w:tcW w:w="4100" w:type="dxa"/>
            <w:vAlign w:val="bottom"/>
            <w:tcBorders>
              <w:right w:val="single" w:sz="8" w:color="auto"/>
            </w:tcBorders>
            <w:vMerge w:val="restart"/>
          </w:tcPr>
          <w:p>
            <w:pPr>
              <w:ind w:left="6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6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76"/>
        </w:trPr>
        <w:tc>
          <w:tcPr>
            <w:tcW w:w="4100" w:type="dxa"/>
            <w:vAlign w:val="bottom"/>
            <w:tcBorders>
              <w:bottom w:val="single" w:sz="8" w:color="auto"/>
              <w:right w:val="single" w:sz="8" w:color="auto"/>
            </w:tcBorders>
            <w:vMerge w:val="continue"/>
          </w:tcPr>
          <w:p>
            <w:pPr>
              <w:spacing w:after="0"/>
              <w:rPr>
                <w:sz w:val="15"/>
                <w:szCs w:val="15"/>
                <w:color w:val="auto"/>
              </w:rPr>
            </w:pPr>
          </w:p>
        </w:tc>
        <w:tc>
          <w:tcPr>
            <w:tcW w:w="176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price</w:t>
            </w:r>
            <w:r>
              <w:rPr>
                <w:rFonts w:ascii="Arial" w:cs="Arial" w:eastAsia="Arial" w:hAnsi="Arial"/>
                <w:sz w:val="12"/>
                <w:szCs w:val="12"/>
                <w:b w:val="1"/>
                <w:bCs w:val="1"/>
                <w:color w:val="auto"/>
                <w:w w:val="91"/>
              </w:rPr>
              <w:t>(2)</w:t>
            </w: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6.50% Convertible Senior Notes due 2025</w:t>
            </w:r>
          </w:p>
        </w:tc>
        <w:tc>
          <w:tcPr>
            <w:tcW w:w="176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91"/>
              </w:rPr>
              <w:t>$1,150,000,000</w:t>
            </w:r>
            <w:r>
              <w:rPr>
                <w:rFonts w:ascii="Arial" w:cs="Arial" w:eastAsia="Arial" w:hAnsi="Arial"/>
                <w:sz w:val="15"/>
                <w:szCs w:val="15"/>
                <w:color w:val="auto"/>
                <w:w w:val="91"/>
              </w:rPr>
              <w:t>(1)(2)</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 of principal amount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$1,150,000,000</w:t>
            </w:r>
            <w:r>
              <w:rPr>
                <w:rFonts w:ascii="Arial" w:cs="Arial" w:eastAsia="Arial" w:hAnsi="Arial"/>
                <w:sz w:val="15"/>
                <w:szCs w:val="15"/>
                <w:color w:val="auto"/>
                <w:w w:val="90"/>
              </w:rPr>
              <w:t>(2)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$149,270</w:t>
            </w:r>
            <w:r>
              <w:rPr>
                <w:rFonts w:ascii="Arial" w:cs="Arial" w:eastAsia="Arial" w:hAnsi="Arial"/>
                <w:sz w:val="15"/>
                <w:szCs w:val="15"/>
                <w:color w:val="auto"/>
                <w:w w:val="89"/>
              </w:rPr>
              <w:t>(3)</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(4)</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(4)</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(5)</w:t>
            </w:r>
          </w:p>
        </w:tc>
        <w:tc>
          <w:tcPr>
            <w:tcW w:w="0" w:type="dxa"/>
            <w:vAlign w:val="bottom"/>
          </w:tcPr>
          <w:p>
            <w:pPr>
              <w:spacing w:after="0"/>
              <w:rPr>
                <w:sz w:val="1"/>
                <w:szCs w:val="1"/>
                <w:color w:val="auto"/>
              </w:rPr>
            </w:pPr>
          </w:p>
        </w:tc>
      </w:tr>
      <w:tr>
        <w:trPr>
          <w:trHeight w:val="195"/>
        </w:trPr>
        <w:tc>
          <w:tcPr>
            <w:tcW w:w="41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Guarantees of 6.50% Convertible Senior Notes</w:t>
            </w:r>
          </w:p>
        </w:tc>
        <w:tc>
          <w:tcPr>
            <w:tcW w:w="176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due 2025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(6)</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(7)</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(8)</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aggregate principal amount of 6.50% Convertible Senior Notes due 2025 (the “Notes”) whose offer and sale are registered hereby.</w:t>
      </w:r>
    </w:p>
    <w:p>
      <w:pPr>
        <w:spacing w:after="0" w:line="46"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$150,000,000 aggregate principal amount of Notes that may be offered and sold pursuant to the exercise in full of the underwriters’ over-allotment option to purchase additional Notes.</w:t>
      </w:r>
    </w:p>
    <w:p>
      <w:pPr>
        <w:jc w:val="both"/>
        <w:ind w:left="540" w:right="54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and Rule 457(r) under the Securities Act of 1933, as amended (the “Securities Act”). The fee payable in connection with the offering pursuant to this prospectus supplement has been paid in accordance with Rule 456(b) under the Securities Act.</w:t>
      </w:r>
    </w:p>
    <w:p>
      <w:pPr>
        <w:spacing w:after="0" w:line="1"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an indeterminate number of shares of common stock of American Airlines Group Inc. issuable upon conversion of the Notes. The initial maximum conversion rate of the Notes is 74.0740 shares of common stock per $1,000 principal amount of Notes. Pursuant to Rule 416 under the Securities Act, the amount of shares of common stock whose offer and sale is registered hereby includes an indeterminate number of shares of common stock that may be issued in connection with stock splits, stock dividends, or similar transactions. No additional consideration is to be received in connection with the exercise of the conversion privilege of the Notes.</w:t>
      </w:r>
    </w:p>
    <w:p>
      <w:pPr>
        <w:ind w:left="540" w:right="12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457(i) under the Securities Act, no separate registration fee is required for the shares of common stock issuable upon conversion of the Notes because no additional consideration is to be received in connection with the exercise of the conversion privilege of the Notes.</w:t>
      </w:r>
    </w:p>
    <w:p>
      <w:pPr>
        <w:spacing w:after="0" w:line="1" w:lineRule="exact"/>
        <w:rPr>
          <w:rFonts w:ascii="Arial" w:cs="Arial" w:eastAsia="Arial" w:hAnsi="Arial"/>
          <w:sz w:val="16"/>
          <w:szCs w:val="16"/>
          <w:color w:val="auto"/>
        </w:rPr>
      </w:pPr>
    </w:p>
    <w:p>
      <w:pPr>
        <w:ind w:left="540" w:right="42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full and unconditional guarantees (the “Guarantees”), by American Airlines, Inc., of the Notes whose offer and sale are registered hereby.</w:t>
      </w: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is being given for the Guarantees.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is payable with respect to the Guarantees.</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Prospectus Supplement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(To Prospectus dated February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20320</wp:posOffset>
            </wp:positionV>
            <wp:extent cx="308610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American Airlines Group Inc.</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6.50% Convertible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3" w:lineRule="exact"/>
        <w:rPr>
          <w:sz w:val="20"/>
          <w:szCs w:val="20"/>
          <w:color w:val="auto"/>
        </w:rPr>
      </w:pPr>
    </w:p>
    <w:p>
      <w:pPr>
        <w:ind w:left="120" w:right="100" w:firstLine="551"/>
        <w:spacing w:after="0" w:line="222" w:lineRule="auto"/>
        <w:rPr>
          <w:sz w:val="20"/>
          <w:szCs w:val="20"/>
          <w:color w:val="auto"/>
        </w:rPr>
      </w:pPr>
      <w:r>
        <w:rPr>
          <w:rFonts w:ascii="Arial" w:cs="Arial" w:eastAsia="Arial" w:hAnsi="Arial"/>
          <w:sz w:val="13"/>
          <w:szCs w:val="13"/>
          <w:color w:val="auto"/>
        </w:rPr>
        <w:t>American Airlines Group Inc. (“AAG”) is offering $1,000.0 million in aggregate principal amount of 6.50% Convertible Senior Notes due 2025 (the “notes”). In addition, we have granted the underwriters an option to purchase, for settlement within a period of 30 days from the date of this prospectus supplement, up to an additional $150.0 million aggregate principal amount of notes, solely to cover over-allotments, if any. The notes will bear interest at a rate of 6.50% per annum. Interest on the notes is payable semi-annually in arrears on January 1 and July 1 of each year, beginning on January 1, 2021. The notes will mature on July 1, 2025, unless earlier converted or redeemed or repurchased by us. The obligations of AAG under the notes will be fully and unconditionally guaranteed by American Airlines, Inc. (“American”), its direct wholly-owned subsidiary (the “guarantor”).</w:t>
      </w:r>
    </w:p>
    <w:p>
      <w:pPr>
        <w:spacing w:after="0" w:line="3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2"/>
          <w:szCs w:val="12"/>
          <w:color w:val="auto"/>
        </w:rPr>
        <w:t>Noteholders may convert their notes at their option only in the following circumstances: (1) during any calendar quarter commencing after the calendar quarter ending on September 30, 2020, if the last reported sale price per share of our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as described in this prospectus supplement; (4) if we call such notes for redemption; and (5) at any time from, and including, April 1, 2025 until the close of business on the second scheduled trading day immediately before the maturity date. We will settle conversions by paying or delivering, as applicable, cash, shares of our common stock or a combination of cash and shares of our common stock, at our election, based on the applicable conversion rate(s). The initial conversion rate is 61.7284 shares per $1,000 principal amount of notes, which represents an initial conversion price of approximately $16.20 per share, and is subject to adjustment as described in this prospectus supplement. If a “make-whole fundamental change” (as defined in this prospectus supplement) occurs, then we will in certain circumstances increase the conversion rate for a specified period of time.</w:t>
      </w:r>
    </w:p>
    <w:p>
      <w:pPr>
        <w:spacing w:after="0" w:line="41" w:lineRule="exact"/>
        <w:rPr>
          <w:sz w:val="20"/>
          <w:szCs w:val="20"/>
          <w:color w:val="auto"/>
        </w:rPr>
      </w:pPr>
    </w:p>
    <w:p>
      <w:pPr>
        <w:ind w:left="120" w:right="160" w:firstLine="551"/>
        <w:spacing w:after="0" w:line="221" w:lineRule="auto"/>
        <w:rPr>
          <w:sz w:val="20"/>
          <w:szCs w:val="20"/>
          <w:color w:val="auto"/>
        </w:rPr>
      </w:pPr>
      <w:r>
        <w:rPr>
          <w:rFonts w:ascii="Arial" w:cs="Arial" w:eastAsia="Arial" w:hAnsi="Arial"/>
          <w:sz w:val="13"/>
          <w:szCs w:val="13"/>
          <w:color w:val="auto"/>
        </w:rPr>
        <w:t>The notes will be redeemable, in whole or in part, at our option at any time, and from time to time, on or after July 5, 2023 and on or before the 20</w:t>
      </w:r>
      <w:r>
        <w:rPr>
          <w:rFonts w:ascii="Arial" w:cs="Arial" w:eastAsia="Arial" w:hAnsi="Arial"/>
          <w:sz w:val="10"/>
          <w:szCs w:val="10"/>
          <w:color w:val="auto"/>
        </w:rPr>
        <w:t>th</w:t>
      </w:r>
      <w:r>
        <w:rPr>
          <w:rFonts w:ascii="Arial" w:cs="Arial" w:eastAsia="Arial" w:hAnsi="Arial"/>
          <w:sz w:val="13"/>
          <w:szCs w:val="13"/>
          <w:color w:val="auto"/>
        </w:rPr>
        <w:t xml:space="preserve"> scheduled trading day immediately before the maturity date, at a cash redemption price equal to the principal amount of the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38" w:lineRule="exact"/>
        <w:rPr>
          <w:sz w:val="20"/>
          <w:szCs w:val="20"/>
          <w:color w:val="auto"/>
        </w:rPr>
      </w:pPr>
    </w:p>
    <w:p>
      <w:pPr>
        <w:ind w:left="120" w:right="340" w:firstLine="551"/>
        <w:spacing w:after="0" w:line="230" w:lineRule="auto"/>
        <w:rPr>
          <w:sz w:val="20"/>
          <w:szCs w:val="20"/>
          <w:color w:val="auto"/>
        </w:rPr>
      </w:pPr>
      <w:r>
        <w:rPr>
          <w:rFonts w:ascii="Arial" w:cs="Arial" w:eastAsia="Arial" w:hAnsi="Arial"/>
          <w:sz w:val="13"/>
          <w:szCs w:val="13"/>
          <w:color w:val="auto"/>
        </w:rPr>
        <w:t>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w:t>
      </w:r>
    </w:p>
    <w:p>
      <w:pPr>
        <w:spacing w:after="0" w:line="37" w:lineRule="exact"/>
        <w:rPr>
          <w:sz w:val="20"/>
          <w:szCs w:val="20"/>
          <w:color w:val="auto"/>
        </w:rPr>
      </w:pPr>
    </w:p>
    <w:p>
      <w:pPr>
        <w:ind w:left="120" w:right="20" w:firstLine="551"/>
        <w:spacing w:after="0" w:line="223" w:lineRule="auto"/>
        <w:rPr>
          <w:sz w:val="20"/>
          <w:szCs w:val="20"/>
          <w:color w:val="auto"/>
        </w:rPr>
      </w:pPr>
      <w:r>
        <w:rPr>
          <w:rFonts w:ascii="Arial" w:cs="Arial" w:eastAsia="Arial" w:hAnsi="Arial"/>
          <w:sz w:val="13"/>
          <w:szCs w:val="13"/>
          <w:color w:val="auto"/>
        </w:rPr>
        <w:t>The notes and the guarantee will rank pari passu in right of payment with all of our and the guarantor’s respective existing and future senior indebtedness and senior in right of payment to all of our and the guarantor’s respective future subordinated indebtedness. The notes and the guarantee will be effectively subordinated to all of our and the guarantor’s respective existing and future secured indebtedness to the extent of the value of the assets pledged to secure those obligations. The notes and the guarantee will also be structurally subordinated to all existing and future indebtedness of our non-guarantor subsidiaries.</w:t>
      </w:r>
    </w:p>
    <w:p>
      <w:pPr>
        <w:spacing w:after="0" w:line="3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2"/>
          <w:szCs w:val="12"/>
          <w:color w:val="auto"/>
        </w:rPr>
        <w:t>Concurrently with this offering, (i) we are conducting a public offering (the “Concurrent Common Stock Offering”) of 74,100,000 shares of our common stock (or up to 85,215,000 shares of our common stock if the underwriters in the Concurrent Common Stock Offering exercise their option to purchase additional shares of common stock solely to cover over-allotments), (ii) American has announced its intention to conduct a private offering of $1,500.0 million aggregate principal amount of its senior secured notes due 2025 guaranteed by AAG (the “Concurrent Senior Secured Notes Offering”) and (iii) American has announced its intention to borrow up to $500.0 million in aggregate principal amount of term loans under new senior secured credit facilities (the “Concurrent Term Loan Financing” and, together with the Concurrent Common Stock Offering and the Concurrent Senior Secured Notes Offering, the “Concurrent Transactions”). Neither this offering nor any of the Concurrent Transactions is conditioned upon the completion of the other, so it is possible that this offering occurs and one or more of the Concurrent Transactions do not occur, and vice versa. We cannot assure you that any of the Concurrent Transactions will be completed on the terms described herein, on significantly different terms, or at all. The Concurrent Common Stock Offering is being made pursuant to a separate prospectus supplement and the Concurrent Senior Secured Notes Offering is being made pursuant to a separate offering memorandum, and nothing contained herein shall constitute an offer to sell or the solicitation of an offer to buy our common stock or senior secured notes to be issued in the Concurrent Common Stock Offering or the Concurrent Senior Secured Notes Offering, respectively. See “Description of the Concurrent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1220" w:type="dxa"/>
            <w:vAlign w:val="bottom"/>
          </w:tcPr>
          <w:p>
            <w:pPr>
              <w:spacing w:after="0"/>
              <w:rPr>
                <w:sz w:val="14"/>
                <w:szCs w:val="14"/>
                <w:color w:val="auto"/>
              </w:rPr>
            </w:pPr>
          </w:p>
        </w:tc>
        <w:tc>
          <w:tcPr>
            <w:tcW w:w="7900" w:type="dxa"/>
            <w:vAlign w:val="bottom"/>
            <w:gridSpan w:val="3"/>
          </w:tcPr>
          <w:p>
            <w:pPr>
              <w:ind w:left="204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Investing in the notes involves risks. See “</w:t>
            </w:r>
            <w:hyperlink w:anchor="page18">
              <w:r>
                <w:rPr>
                  <w:rFonts w:ascii="Arial" w:cs="Arial" w:eastAsia="Arial" w:hAnsi="Arial"/>
                  <w:sz w:val="13"/>
                  <w:szCs w:val="13"/>
                  <w:i w:val="1"/>
                  <w:iCs w:val="1"/>
                  <w:u w:val="single" w:color="auto"/>
                  <w:color w:val="0000EE"/>
                </w:rPr>
                <w:t>Risk Factors</w:t>
              </w:r>
            </w:hyperlink>
            <w:r>
              <w:rPr>
                <w:rFonts w:ascii="Arial" w:cs="Arial" w:eastAsia="Arial" w:hAnsi="Arial"/>
                <w:sz w:val="13"/>
                <w:szCs w:val="13"/>
                <w:i w:val="1"/>
                <w:iCs w:val="1"/>
                <w:color w:val="auto"/>
              </w:rPr>
              <w:t>” beginning on page S-11.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Per Note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Total(3)</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912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3"/>
                <w:szCs w:val="13"/>
                <w:color w:val="auto"/>
              </w:rPr>
              <w:t>Price to public(1)</w:t>
            </w: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1,000.0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1,000,000,000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120" w:type="dxa"/>
            <w:vAlign w:val="bottom"/>
            <w:gridSpan w:val="4"/>
          </w:tcPr>
          <w:p>
            <w:pPr>
              <w:spacing w:after="0" w:line="135" w:lineRule="exact"/>
              <w:rPr>
                <w:sz w:val="20"/>
                <w:szCs w:val="20"/>
                <w:color w:val="auto"/>
              </w:rPr>
            </w:pPr>
            <w:r>
              <w:rPr>
                <w:rFonts w:ascii="Arial" w:cs="Arial" w:eastAsia="Arial" w:hAnsi="Arial"/>
                <w:sz w:val="13"/>
                <w:szCs w:val="13"/>
                <w:color w:val="auto"/>
              </w:rPr>
              <w:t>Underwriting discount(2)</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29.60</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29,600,000</w:t>
            </w:r>
          </w:p>
        </w:tc>
        <w:tc>
          <w:tcPr>
            <w:tcW w:w="0" w:type="dxa"/>
            <w:vAlign w:val="bottom"/>
          </w:tcPr>
          <w:p>
            <w:pPr>
              <w:spacing w:after="0"/>
              <w:rPr>
                <w:sz w:val="1"/>
                <w:szCs w:val="1"/>
                <w:color w:val="auto"/>
              </w:rPr>
            </w:pPr>
          </w:p>
        </w:tc>
      </w:tr>
      <w:tr>
        <w:trPr>
          <w:trHeight w:val="135"/>
        </w:trPr>
        <w:tc>
          <w:tcPr>
            <w:tcW w:w="91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Proceeds, before expenses, to American Airlines Group Inc.</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970.40</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970,400,000</w:t>
            </w:r>
          </w:p>
        </w:tc>
        <w:tc>
          <w:tcPr>
            <w:tcW w:w="0" w:type="dxa"/>
            <w:vAlign w:val="bottom"/>
          </w:tcPr>
          <w:p>
            <w:pPr>
              <w:spacing w:after="0"/>
              <w:rPr>
                <w:sz w:val="1"/>
                <w:szCs w:val="1"/>
                <w:color w:val="auto"/>
              </w:rPr>
            </w:pPr>
          </w:p>
        </w:tc>
      </w:tr>
      <w:tr>
        <w:trPr>
          <w:trHeight w:val="54"/>
        </w:trPr>
        <w:tc>
          <w:tcPr>
            <w:tcW w:w="1220" w:type="dxa"/>
            <w:vAlign w:val="bottom"/>
            <w:tcBorders>
              <w:bottom w:val="single" w:sz="8" w:color="auto"/>
            </w:tcBorders>
          </w:tcPr>
          <w:p>
            <w:pPr>
              <w:spacing w:after="0"/>
              <w:rPr>
                <w:sz w:val="4"/>
                <w:szCs w:val="4"/>
                <w:color w:val="auto"/>
              </w:rPr>
            </w:pPr>
          </w:p>
        </w:tc>
        <w:tc>
          <w:tcPr>
            <w:tcW w:w="31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60" w:hanging="544"/>
        <w:spacing w:after="0"/>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Plus accrued interest from June 25, 2020, if settlement occurs after that date.</w:t>
      </w:r>
    </w:p>
    <w:p>
      <w:pPr>
        <w:ind w:left="660" w:hanging="544"/>
        <w:spacing w:after="0" w:line="216" w:lineRule="auto"/>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description of compensation to the underwriters.</w:t>
      </w:r>
    </w:p>
    <w:p>
      <w:pPr>
        <w:ind w:left="660" w:hanging="544"/>
        <w:spacing w:after="0"/>
        <w:tabs>
          <w:tab w:leader="none" w:pos="6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Assumes no exercise of the underwriters’ option to purchase additional notes.</w:t>
      </w:r>
    </w:p>
    <w:p>
      <w:pPr>
        <w:spacing w:after="0" w:line="40" w:lineRule="exact"/>
        <w:rPr>
          <w:sz w:val="20"/>
          <w:szCs w:val="20"/>
          <w:color w:val="auto"/>
        </w:rPr>
      </w:pPr>
    </w:p>
    <w:p>
      <w:pPr>
        <w:ind w:left="120" w:right="300" w:firstLine="551"/>
        <w:spacing w:after="0" w:line="259" w:lineRule="auto"/>
        <w:rPr>
          <w:sz w:val="20"/>
          <w:szCs w:val="20"/>
          <w:color w:val="auto"/>
        </w:rPr>
      </w:pPr>
      <w:r>
        <w:rPr>
          <w:rFonts w:ascii="Arial" w:cs="Arial" w:eastAsia="Arial" w:hAnsi="Arial"/>
          <w:sz w:val="12"/>
          <w:szCs w:val="12"/>
          <w:color w:val="auto"/>
        </w:rPr>
        <w:t>No public market currently exists for the notes, and we do not intend to apply for listing of the notes on any securities exchange or for inclusion of the notes in any automated quotation system. Our common stock is listed on The Nasdaq Global Select Market under the symbol “AAL.” On June 22, 2020 the last reported sale price of our common stock was $14.92 per share.</w:t>
      </w:r>
    </w:p>
    <w:p>
      <w:pPr>
        <w:spacing w:after="0" w:line="15" w:lineRule="exact"/>
        <w:rPr>
          <w:sz w:val="20"/>
          <w:szCs w:val="20"/>
          <w:color w:val="auto"/>
        </w:rPr>
      </w:pPr>
    </w:p>
    <w:p>
      <w:pPr>
        <w:ind w:left="120" w:right="280" w:firstLine="551"/>
        <w:spacing w:after="0" w:line="261"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 notes or the shares of our common stock, if any, issuable upon the conversion of the notes or determined if this prospectus supplement or the accompanying prospectus is truthful or complete. Any representation to the contrary is a criminal offense.</w:t>
      </w:r>
    </w:p>
    <w:p>
      <w:pPr>
        <w:spacing w:after="0" w:line="22" w:lineRule="exact"/>
        <w:rPr>
          <w:sz w:val="20"/>
          <w:szCs w:val="20"/>
          <w:color w:val="auto"/>
        </w:rPr>
      </w:pPr>
    </w:p>
    <w:p>
      <w:pPr>
        <w:jc w:val="center"/>
        <w:ind w:left="400"/>
        <w:spacing w:after="0"/>
        <w:rPr>
          <w:sz w:val="20"/>
          <w:szCs w:val="20"/>
          <w:color w:val="auto"/>
        </w:rPr>
      </w:pPr>
      <w:r>
        <w:rPr>
          <w:rFonts w:ascii="Arial" w:cs="Arial" w:eastAsia="Arial" w:hAnsi="Arial"/>
          <w:sz w:val="12"/>
          <w:szCs w:val="12"/>
          <w:color w:val="auto"/>
        </w:rPr>
        <w:t>We expect that delivery of the notes will be made to purchasers on or about June 25, 2020, in book-entry form through the facilities of The Depository Trust Company and its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Bookrunners</w:t>
      </w:r>
    </w:p>
    <w:p>
      <w:pPr>
        <w:sectPr>
          <w:pgSz w:w="11900" w:h="16838" w:orient="portrait"/>
          <w:cols w:equalWidth="0" w:num="1">
            <w:col w:w="11140"/>
          </w:cols>
          <w:pgMar w:left="320" w:top="459" w:right="439" w:bottom="1440" w:gutter="0" w:footer="0" w:header="0"/>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BofA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J.P. Morgan</w:t>
      </w:r>
    </w:p>
    <w:p>
      <w:pPr>
        <w:spacing w:after="0" w:line="124" w:lineRule="exact"/>
        <w:rPr>
          <w:sz w:val="20"/>
          <w:szCs w:val="20"/>
          <w:color w:val="auto"/>
        </w:rPr>
      </w:pPr>
    </w:p>
    <w:p>
      <w:pPr>
        <w:sectPr>
          <w:pgSz w:w="11900" w:h="16838" w:orient="portrait"/>
          <w:cols w:equalWidth="0" w:num="4">
            <w:col w:w="3800" w:space="720"/>
            <w:col w:w="1760" w:space="720"/>
            <w:col w:w="2420" w:space="720"/>
            <w:col w:w="10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4"/>
          <w:szCs w:val="14"/>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Deutsche Bank Securities</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Arial" w:cs="Arial" w:eastAsia="Arial" w:hAnsi="Arial"/>
          <w:sz w:val="14"/>
          <w:szCs w:val="14"/>
          <w:b w:val="1"/>
          <w:bCs w:val="1"/>
          <w:color w:val="auto"/>
        </w:rPr>
        <w:t>Credit Suisse</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4"/>
          <w:szCs w:val="14"/>
          <w:b w:val="1"/>
          <w:bCs w:val="1"/>
          <w:color w:val="auto"/>
        </w:rPr>
        <w:t>ICBC Standard Bank</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4"/>
          <w:szCs w:val="14"/>
          <w:b w:val="1"/>
          <w:bCs w:val="1"/>
          <w:color w:val="auto"/>
        </w:rPr>
        <w:t>Morgan Stanley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SMBC Nikko</w:t>
      </w:r>
    </w:p>
    <w:p>
      <w:pPr>
        <w:spacing w:after="0" w:line="37" w:lineRule="exact"/>
        <w:rPr>
          <w:sz w:val="20"/>
          <w:szCs w:val="20"/>
          <w:color w:val="auto"/>
        </w:rPr>
      </w:pPr>
    </w:p>
    <w:p>
      <w:pPr>
        <w:sectPr>
          <w:pgSz w:w="11900" w:h="16838" w:orient="portrait"/>
          <w:cols w:equalWidth="0" w:num="6">
            <w:col w:w="720" w:space="600"/>
            <w:col w:w="2000" w:space="720"/>
            <w:col w:w="1120" w:space="720"/>
            <w:col w:w="1640" w:space="720"/>
            <w:col w:w="1320" w:space="720"/>
            <w:col w:w="8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3"/>
          <w:szCs w:val="13"/>
          <w:i w:val="1"/>
          <w:iCs w:val="1"/>
          <w:color w:val="auto"/>
        </w:rPr>
        <w:t>Co-Managers</w:t>
      </w:r>
    </w:p>
    <w:p>
      <w:pPr>
        <w:spacing w:after="0" w:line="44" w:lineRule="exact"/>
        <w:rPr>
          <w:sz w:val="20"/>
          <w:szCs w:val="20"/>
          <w:color w:val="auto"/>
        </w:rPr>
      </w:pPr>
    </w:p>
    <w:p>
      <w:pPr>
        <w:jc w:val="center"/>
        <w:ind w:right="-119"/>
        <w:spacing w:after="0"/>
        <w:tabs>
          <w:tab w:leader="none" w:pos="260" w:val="left"/>
          <w:tab w:leader="none" w:pos="220" w:val="left"/>
          <w:tab w:leader="none" w:pos="220" w:val="left"/>
          <w:tab w:leader="none" w:pos="220" w:val="left"/>
          <w:tab w:leader="none" w:pos="260" w:val="left"/>
        </w:tabs>
        <w:rPr>
          <w:sz w:val="20"/>
          <w:szCs w:val="20"/>
          <w:color w:val="auto"/>
        </w:rPr>
      </w:pPr>
      <w:r>
        <w:rPr>
          <w:rFonts w:ascii="Arial" w:cs="Arial" w:eastAsia="Arial" w:hAnsi="Arial"/>
          <w:sz w:val="14"/>
          <w:szCs w:val="14"/>
          <w:b w:val="1"/>
          <w:bCs w:val="1"/>
          <w:color w:val="auto"/>
        </w:rPr>
        <w:t>BNP PARIBAS</w:t>
      </w:r>
      <w:r>
        <w:rPr>
          <w:sz w:val="20"/>
          <w:szCs w:val="20"/>
          <w:color w:val="auto"/>
        </w:rPr>
        <w:tab/>
      </w:r>
      <w:r>
        <w:rPr>
          <w:rFonts w:ascii="Arial" w:cs="Arial" w:eastAsia="Arial" w:hAnsi="Arial"/>
          <w:sz w:val="14"/>
          <w:szCs w:val="14"/>
          <w:b w:val="1"/>
          <w:bCs w:val="1"/>
          <w:color w:val="auto"/>
        </w:rPr>
        <w:t>Credit Agricole CIB</w:t>
        <w:tab/>
        <w:t>Standard Chartered Bank</w:t>
        <w:tab/>
        <w:t>HSBC</w:t>
        <w:tab/>
        <w:t>MUFG</w:t>
      </w:r>
      <w:r>
        <w:rPr>
          <w:sz w:val="20"/>
          <w:szCs w:val="20"/>
          <w:color w:val="auto"/>
        </w:rPr>
        <w:tab/>
      </w:r>
      <w:r>
        <w:rPr>
          <w:rFonts w:ascii="Arial" w:cs="Arial" w:eastAsia="Arial" w:hAnsi="Arial"/>
          <w:sz w:val="14"/>
          <w:szCs w:val="14"/>
          <w:b w:val="1"/>
          <w:bCs w:val="1"/>
          <w:color w:val="auto"/>
        </w:rPr>
        <w:t>BOK Financials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The date of this prospectus supplement is June 22, 2020</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820" w:type="dxa"/>
            <w:vAlign w:val="bottom"/>
          </w:tcPr>
          <w:p>
            <w:pPr>
              <w:jc w:val="center"/>
              <w:ind w:left="233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Prospectus Supplement</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2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Presentation of Information</w:t>
              </w:r>
            </w:hyperlink>
          </w:p>
        </w:tc>
        <w:tc>
          <w:tcPr>
            <w:tcW w:w="192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S-iii</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Special Note About Forward-Looking Statements</w:t>
              </w:r>
            </w:hyperlink>
          </w:p>
        </w:tc>
        <w:tc>
          <w:tcPr>
            <w:tcW w:w="192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6"/>
              </w:rPr>
              <w:t>S-iv</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tc>
        <w:tc>
          <w:tcPr>
            <w:tcW w:w="192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Offering</w:t>
              </w:r>
            </w:hyperlink>
          </w:p>
        </w:tc>
        <w:tc>
          <w:tcPr>
            <w:tcW w:w="192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Summary Financial Information and Operating Data</w:t>
              </w:r>
            </w:hyperlink>
          </w:p>
        </w:tc>
        <w:tc>
          <w:tcPr>
            <w:tcW w:w="192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S-53</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Capitalization</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S-54</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Dividend Policy</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S-57</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Description of Notes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S-58</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Description of the Concurrent Transactions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S-100</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Other Indebtedness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S-103</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U.S. Federal Income Tax Considerations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S-111</w:t>
            </w:r>
          </w:p>
        </w:tc>
        <w:tc>
          <w:tcPr>
            <w:tcW w:w="0" w:type="dxa"/>
            <w:vAlign w:val="bottom"/>
          </w:tcPr>
          <w:p>
            <w:pPr>
              <w:spacing w:after="0"/>
              <w:rPr>
                <w:sz w:val="1"/>
                <w:szCs w:val="1"/>
                <w:color w:val="auto"/>
              </w:rPr>
            </w:pPr>
          </w:p>
        </w:tc>
      </w:tr>
      <w:tr>
        <w:trPr>
          <w:trHeight w:val="202"/>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Underwriting</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S-120</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Legal Matters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S-130</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Experts</w:t>
              </w:r>
            </w:hyperlink>
          </w:p>
        </w:tc>
        <w:tc>
          <w:tcPr>
            <w:tcW w:w="22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S-130</w:t>
            </w:r>
          </w:p>
        </w:tc>
        <w:tc>
          <w:tcPr>
            <w:tcW w:w="0" w:type="dxa"/>
            <w:vAlign w:val="bottom"/>
          </w:tcPr>
          <w:p>
            <w:pPr>
              <w:spacing w:after="0"/>
              <w:rPr>
                <w:sz w:val="1"/>
                <w:szCs w:val="1"/>
                <w:color w:val="auto"/>
              </w:rPr>
            </w:pPr>
          </w:p>
        </w:tc>
      </w:tr>
      <w:tr>
        <w:trPr>
          <w:trHeight w:val="217"/>
        </w:trPr>
        <w:tc>
          <w:tcPr>
            <w:tcW w:w="882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Incorporation of Certain Documents by Reference</w:t>
              </w:r>
            </w:hyperlink>
          </w:p>
        </w:tc>
        <w:tc>
          <w:tcPr>
            <w:tcW w:w="2280" w:type="dxa"/>
            <w:vAlign w:val="bottom"/>
            <w:gridSpan w:val="3"/>
          </w:tcPr>
          <w:p>
            <w:pPr>
              <w:jc w:val="right"/>
              <w:ind w:right="40"/>
              <w:spacing w:after="0"/>
              <w:rPr>
                <w:sz w:val="20"/>
                <w:szCs w:val="20"/>
                <w:color w:val="auto"/>
              </w:rPr>
            </w:pPr>
            <w:r>
              <w:rPr>
                <w:rFonts w:ascii="Arial" w:cs="Arial" w:eastAsia="Arial" w:hAnsi="Arial"/>
                <w:sz w:val="18"/>
                <w:szCs w:val="18"/>
                <w:color w:val="auto"/>
              </w:rPr>
              <w:t>S-131</w:t>
            </w:r>
          </w:p>
        </w:tc>
        <w:tc>
          <w:tcPr>
            <w:tcW w:w="0" w:type="dxa"/>
            <w:vAlign w:val="bottom"/>
          </w:tcPr>
          <w:p>
            <w:pPr>
              <w:spacing w:after="0"/>
              <w:rPr>
                <w:sz w:val="1"/>
                <w:szCs w:val="1"/>
                <w:color w:val="auto"/>
              </w:rPr>
            </w:pPr>
          </w:p>
        </w:tc>
      </w:tr>
      <w:tr>
        <w:trPr>
          <w:trHeight w:val="418"/>
        </w:trPr>
        <w:tc>
          <w:tcPr>
            <w:tcW w:w="882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Prospectus</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20" w:type="dxa"/>
            <w:vAlign w:val="bottom"/>
            <w:vMerge w:val="restart"/>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ABOUT THIS PROSPECTUS</w:t>
              </w:r>
            </w:hyperlink>
          </w:p>
        </w:tc>
        <w:tc>
          <w:tcPr>
            <w:tcW w:w="19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5"/>
        </w:trPr>
        <w:tc>
          <w:tcPr>
            <w:tcW w:w="88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WHERE YOU CAN FIND MORE INFORMATION; INCORPORATION BY REFERENCE</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THE COMPANY</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RISK FACTORS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USE OF PROCEEDS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DESCRIPTION OF CAPITAL STOCK</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DESCRIPTION OF DEBT SECURITIES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DESCRIPTION OF OTHER SECURITIES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GLOBAL SECURITIES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PLAN OF DISTRIBUTION</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8820" w:type="dxa"/>
            <w:vAlign w:val="bottom"/>
          </w:tcPr>
          <w:p>
            <w:pPr>
              <w:ind w:left="120"/>
              <w:spacing w:after="0" w:line="202" w:lineRule="exact"/>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LEGAL MATTERS</w:t>
              </w:r>
            </w:hyperlink>
          </w:p>
        </w:tc>
        <w:tc>
          <w:tcPr>
            <w:tcW w:w="2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8820" w:type="dxa"/>
            <w:vAlign w:val="bottom"/>
          </w:tcPr>
          <w:p>
            <w:pPr>
              <w:ind w:left="12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EXPERTS</w:t>
              </w:r>
            </w:hyperlink>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This prospectus supplement is part of a registration statement that American Airlines Group Inc. and American Airlines, Inc. filed jointly with the U.S. Securities and Exchange Commission, or the SEC, each as a “well-known seasoned issuer” as defined in Rule 405 under the Securities Act of 1933, as amended, using a “shelf” registration process. This document consists of two parts. The first part is this prospectus supplement, which describes the specific terms of this offering. The second part is the accompanying prospectus, which describes more general information, some of which may not apply to this offering. If there is any inconsistency between the information in the accompanying prospectus and this prospectus supplement, you should rely on this prospectus supplement. Before purchasing any securities, you should carefully read both this prospectus supplement and the accompanying prospectus, together with the documents incorporated by reference and the additional information described under the heading “Incorporation of Certain Documents by Reference.”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We have not, and the underwriters have not, authorized anyone to provide you with any information or to make any representations other than those contained in this prospectus supplement, the accompanying prospectus or any related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supplement and the accompanying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supplement incorporates by reference, and any related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“Risk Factors”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w:t>
      </w:r>
    </w:p>
    <w:p>
      <w:pPr>
        <w:spacing w:after="0" w:line="200" w:lineRule="exact"/>
        <w:rPr>
          <w:sz w:val="20"/>
          <w:szCs w:val="20"/>
          <w:color w:val="auto"/>
        </w:rPr>
      </w:pPr>
    </w:p>
    <w:p>
      <w:pPr>
        <w:spacing w:after="0" w:line="201"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This prospectus supplement, the accompanying prospectus, any related free writing prospectus issued by us (which we refer to as a “company free writing prospectus”) and the documents incorporated by reference in this prospectus supplement and the accompanying prospectus, or to which we have referred you, contain and incorporate by reference information that you should consider when making your investment decision.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PRESENTATION OF INFORMATION</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this prospectus supplement, all references to “AAG” refer to American Airlines Group Inc. All references to “we,” “us,” “our,” the “Company” and similar designations refer to AAG and its consolidated subsidiaries, unless otherwise indicated or the context otherwise requires. All references to “American” refer to AAG’s direct wholly-owned subsidiary, American Airlines, Inc.</w:t>
      </w:r>
    </w:p>
    <w:p>
      <w:pPr>
        <w:spacing w:after="0" w:line="203" w:lineRule="exact"/>
        <w:rPr>
          <w:sz w:val="20"/>
          <w:szCs w:val="20"/>
          <w:color w:val="auto"/>
        </w:rPr>
      </w:pPr>
    </w:p>
    <w:p>
      <w:pPr>
        <w:jc w:val="center"/>
        <w:ind w:left="580" w:right="400"/>
        <w:spacing w:after="0" w:line="418" w:lineRule="auto"/>
        <w:rPr>
          <w:sz w:val="20"/>
          <w:szCs w:val="20"/>
          <w:color w:val="auto"/>
        </w:rPr>
      </w:pPr>
      <w:r>
        <w:rPr>
          <w:rFonts w:ascii="Arial" w:cs="Arial" w:eastAsia="Arial" w:hAnsi="Arial"/>
          <w:sz w:val="18"/>
          <w:szCs w:val="18"/>
          <w:color w:val="auto"/>
        </w:rPr>
        <w:t>References in this prospectus supplement to “mainline” refer to the operations of American and exclude regional operations. S-iii</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Certain of the statements contained in this prospectus supplement, the accompanying prospectus, the documents incorporated by reference into this prospectus supplement and the accompanying prospectus or any related free writing prospectus, the documents incorporated by reference herein and therein and other materials filed or to be filed with the Securities and Exchange Commission (“SEC”) represent our expectations or beliefs concerning future events and should be considered “forward-looking statements” within the meaning of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the outbreak and global spread of COVID-19 and resulting severe decline in demand for air travel and the duration and severity of the COVID-19 pandemic; competitive practices in our industry, including the impact of low cost carriers, competing airline alliances and industry consolidation; downturns in economic conditions that could adversely affect our business; the impact of changing economic and other conditions beyond our control, including global events that affect travel behavior such as the outbreak of the COVID-19 pandemic, and volatility and fluctuations in our results of operations due to seasonality; our ability to preserve cash and improve our overall liquidity position in response to the impact of COVID-19; the impact of continued periods of high volatility in fuel costs, increased fuel prices or significant disruptions in the supply of aircraft fuel; the effect our high level of debt and other obligations may have on our ability to fund general corporate requirements, our ability to obtain additional financing and respond to competitive developments and adverse economic and industry conditions; an inability to obtain sufficient financing or other capital, including in response to the impact of COVID-19, to operate successfully and in accordance with our current business plan; the loss of key personnel upon whom we depend to operate our business or the inability to attract additional qualified personnel; the impact of union disputes, employee strikes and other labor-related disruptions, or our inability to otherwise maintain labor costs at competitive levels; our significant pension and other postretirement benefit funding obligations; the impact of any damage to our reputation or brand image; losses and adverse publicity stemming from any public incident involving our company, our people or our brand, including any accident or other public incident involving our personnel or aircraft, a type of aircraft in our fleet, or the personnel or aircraft of our regional or codeshare or joint venture operators; extensive government regulation, which may result in increases in our costs, disruptions to our operations, limits on our operating flexibility, reductions in the demand for air travel, including in response to the impact of COVID-19, and competitive disadvantages;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and risks associated deterioration in global trade relations, including shifts in the trade policies of individual nations and risks associated with the legal and regulatory uncertainty resulting from the exit of the United Kingdom from the EU and the consequences that will flow from such exit; the impact of conflicts overseas, terrorist attacks and ongoing security concerns; the impact associated with climate change, including increased regulation to reduce emissions of greenhouse gases; the impact of environmental and noise regulation; our dependence on a limited number of suppliers for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aircraft, aircraft engines and parts; delays in scheduled aircraft deliveries, or other loss of anticipated fleet capacity, and failure of new aircraft to perform as expected, including as a result of the March 2019 order from the FAA grounding all Boeing 737 Max aircraft; our reliance on technology and automated systems and the impact of any failure of these technologies or systems; challenges in integrating our computer, communications and other technology systems; costs of evolving data security and privacy requirements and the impact of any significant data security incident;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any inability to obtain and maintain adequate facilities, infrastructure and slots to operate our flight schedule and expand or change our route network; interruptions or disruptions in service at one or more of our key facilities; changes to our business model that may not successfully increase revenues and may cause operational difficulties or decreased demand; the inability to protect our intellectual property rights, particularly our branding rights; the effect on our financial position and liquidity of being party to or involved in litigation; the effect of a higher than normal number of pilot retirements, more stringent duty time regulations and increased training requirements, causing a continuing shortage of commercial pilots; the impact of possible future increases in insurance costs or reductions in available insurance coverage; the impact of the heavy taxation on the airline industry; an inability to use net operating losses carried over from prior taxable years; any inability to produce the results we expect from the commercial relationships that we have with other airlines, including any related equity investments; provisions in credit card processing and other commercial agreements that may materially reduce our liquidity; any impairment in our significant amount of goodwill and an inability to realize the full value of our intangible or long-lived assets and any material impairment charges that would be recorded as a result; price volatility of our common stock; the effects of our capital deployment program and the limitation, the suspension and discontinuation of our share repurchase program and dividend payments thereunder as required by the CARES Act and any future repurchases of or payment of dividends on our common stock; the effect of provisions of our Restated Certificate of Incorporation and Amended and Restated Bylaws that limit ownership and voting of our equity interests, including our common stock; the effect of provisions of our Restated Certificate of Incorporation and Amended and Restated Bylaws that may delay or prevent stockholders’ ability to change the composition of our Board of Directors and the effect this may have on takeover attempts that some of our stockholders might consider beneficial; and other economic, business, competitive, and/or regulatory factors affecting our business. These risks and uncertainties include, but are not limited to, those set forth: (i) under the heading “Risk factors” set forth elsewhere in this prospectus supplement, (ii) in our Quarterly Report on Form 10-Q for the quarterly period ended March 31, 2020 (especially in Part I, Item 2—Management’s Discussion and Analysis of Financial Condition and Results of Operations, Part I, Item 3— Quantitative and Qualitative Disclosures About Market Risk and Part II, Item 1A—Risk Factors) and (iii) in the Company’s other filings with the SEC.</w:t>
      </w:r>
    </w:p>
    <w:p>
      <w:pPr>
        <w:spacing w:after="0" w:line="21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All forward-looking statements in this prospectus supplement, the accompanying prospectus, the documents incorporated by reference into this prospectus supplement and the accompanying prospectus and other materials filed or to be filed with the SEC are based upon information available to us on the date of this prospectus supplement or such document. There may be other factors of which we are not currently aware that may affect matters discussed in the forward-looking statements and may also cause actual results to differ materially from those discussed. Forward-looking statements speak only as of the date hereof or as of the dates indicated in such statements. We do not assume any obligation to publicly update or supplement any forward-looking statement to reflect actual results, changes in assumptions or changes in other factors affecting such statements other than as required by law.</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left="300" w:right="160" w:firstLine="532"/>
        <w:spacing w:after="0"/>
        <w:rPr>
          <w:sz w:val="20"/>
          <w:szCs w:val="20"/>
          <w:color w:val="auto"/>
        </w:rPr>
      </w:pPr>
      <w:r>
        <w:rPr>
          <w:rFonts w:ascii="Arial" w:cs="Arial" w:eastAsia="Arial" w:hAnsi="Arial"/>
          <w:sz w:val="18"/>
          <w:szCs w:val="18"/>
          <w:i w:val="1"/>
          <w:iCs w:val="1"/>
          <w:color w:val="auto"/>
        </w:rPr>
        <w:t>This summary highlights selected information about us and the offering of the notes. This summary is not complete and does not contain all of the information that may be important to you. You should read carefully this prospectus supplement, the accompanying prospectus and any related company free writing prospectus, including the “Risk Factors” section, and the other documents that we refer to and incorporate by reference herein, including Part II, Item 1A—Risk Factors in our Quarterly Report on Form 10-Q for the quarterly period ended March 31, 2020, for a more complete understanding of us, the guarantor and this offering. In particular, we incorporate by reference important business and financial information in this prospectus supplement. See “Incorporation of Certain Documents by Reference” in this prospectus supplement.</w:t>
      </w: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Company</w:t>
      </w:r>
    </w:p>
    <w:p>
      <w:pPr>
        <w:spacing w:after="0" w:line="234"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 xml:space="preserve">American Airlines Group Inc. (“AAG”), a Delaware corporation, is a holding company and its principal, wholly-owned subsidiary is American Airlines, Inc. (“American”). AAG was formed in 1982 under the name AMR Corporation as the parent company of American, which was founded in 1934. All of American’s common stock is owned by AAG. American operates principally through its hubs and gateways in Charlotte, Chicago, Dallas/Fort Worth, London Heathrow, Los Angeles, Miami, New York, Philadelphia, Phoenix and Washington, D.C. 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15"/>
          <w:szCs w:val="15"/>
          <w:color w:val="auto"/>
        </w:rPr>
        <w:t>®</w:t>
      </w:r>
      <w:r>
        <w:rPr>
          <w:rFonts w:ascii="Arial" w:cs="Arial" w:eastAsia="Arial" w:hAnsi="Arial"/>
          <w:sz w:val="18"/>
          <w:szCs w:val="18"/>
          <w:color w:val="auto"/>
        </w:rPr>
        <w:t xml:space="preserve"> alliance. American’s cargo division provides a wide range of freight and mail services, with facilities and interline connections available across the globe.</w:t>
      </w:r>
    </w:p>
    <w:p>
      <w:pPr>
        <w:spacing w:after="0" w:line="205" w:lineRule="exact"/>
        <w:rPr>
          <w:sz w:val="20"/>
          <w:szCs w:val="20"/>
          <w:color w:val="auto"/>
        </w:rPr>
      </w:pPr>
    </w:p>
    <w:p>
      <w:pPr>
        <w:ind w:left="300" w:right="160" w:firstLine="532"/>
        <w:spacing w:after="0"/>
        <w:rPr>
          <w:sz w:val="20"/>
          <w:szCs w:val="20"/>
          <w:color w:val="auto"/>
        </w:rPr>
      </w:pPr>
      <w:r>
        <w:rPr>
          <w:rFonts w:ascii="Arial" w:cs="Arial" w:eastAsia="Arial" w:hAnsi="Arial"/>
          <w:sz w:val="18"/>
          <w:szCs w:val="18"/>
          <w:color w:val="auto"/>
        </w:rPr>
        <w:t>AAG’s principal executive office is located at 1 Skyview Drive, Fort Worth, Texas 76155. AAG’s telephone number is 817-963-1234 and its website is www.aa.com. Information contained on American’s website is not and should not be deemed a part of this prospectus supplement or any report or filing filed with or furnished to the SEC.</w:t>
      </w: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Concurrent Transactions</w:t>
      </w:r>
    </w:p>
    <w:p>
      <w:pPr>
        <w:spacing w:after="0" w:line="126"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Concurrently with this offering of the notes, (i) we are conducting a public offering (the “Concurrent Common Stock Offering”) of 74,100,000 shares of our common stock (or up to 85,215,000 shares of our common stock if the underwriters in the Concurrent Common Stock Offering exercise their option to purchase additional shares of common stock solely to cover over-allotments), (ii) American has announced its intention to conduct a private offering of $1,500.0 million aggregate principal amount of its senior secured notes due 2025 guaranteed by AAG (the “Concurrent Senior Secured Notes Offering”) and (iii) American has announced its intention to borrow up to $500.0 million in aggregate principal amount of term loans under new senior secured credit facilities (the “Concurrent Term Loan Financing” and, together with the Concurrent Common Stock Offering and the Concurrent Senior Secured Notes Offering, the “Concurrent Transactions”). The Concurrent Common Stock Offering is being made pursuant to a separate prospectus supplement and the Concurrent Senior Secured Notes Offering is being made pursuant to a separate offering memorandum. Nothing contained herein shall constitute an offer to sell or the solicitation of an offer to buy shares of common stock in the Concurrent Common Stock Offering or senior secured notes in the Concurrent Senior Secured Notes Offering.</w:t>
      </w:r>
    </w:p>
    <w:p>
      <w:pPr>
        <w:spacing w:after="0" w:line="205" w:lineRule="exact"/>
        <w:rPr>
          <w:sz w:val="20"/>
          <w:szCs w:val="20"/>
          <w:color w:val="auto"/>
        </w:rPr>
      </w:pPr>
    </w:p>
    <w:p>
      <w:pPr>
        <w:jc w:val="both"/>
        <w:ind w:left="300" w:right="20" w:firstLine="532"/>
        <w:spacing w:after="0"/>
        <w:rPr>
          <w:sz w:val="20"/>
          <w:szCs w:val="20"/>
          <w:color w:val="auto"/>
        </w:rPr>
      </w:pPr>
      <w:r>
        <w:rPr>
          <w:rFonts w:ascii="Arial" w:cs="Arial" w:eastAsia="Arial" w:hAnsi="Arial"/>
          <w:sz w:val="18"/>
          <w:szCs w:val="18"/>
          <w:color w:val="auto"/>
        </w:rPr>
        <w:t>Neither this offering nor any of the Concurrent Transactions is conditioned upon the completion of any of the other offerings, so it is possible that this offering occurs and one or more of the Concurrent Transactions do not occur, and vice versa. We cannot assure you that any of the Concurrent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60"/>
        <w:spacing w:after="0" w:line="246" w:lineRule="auto"/>
        <w:rPr>
          <w:sz w:val="20"/>
          <w:szCs w:val="20"/>
          <w:color w:val="auto"/>
        </w:rPr>
      </w:pPr>
      <w:r>
        <w:rPr>
          <w:rFonts w:ascii="Arial" w:cs="Arial" w:eastAsia="Arial" w:hAnsi="Arial"/>
          <w:sz w:val="18"/>
          <w:szCs w:val="18"/>
          <w:color w:val="auto"/>
        </w:rPr>
        <w:t>Transactions will be completed on the terms described herein, on significantly different terms, or at all. See “Description of the Concurrent Transactions.”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Performance Update</w:t>
      </w:r>
    </w:p>
    <w:p>
      <w:pPr>
        <w:spacing w:after="0" w:line="126" w:lineRule="exact"/>
        <w:rPr>
          <w:sz w:val="20"/>
          <w:szCs w:val="20"/>
          <w:color w:val="auto"/>
        </w:rPr>
      </w:pPr>
    </w:p>
    <w:p>
      <w:pPr>
        <w:ind w:left="300" w:right="140" w:firstLine="532"/>
        <w:spacing w:after="0"/>
        <w:rPr>
          <w:sz w:val="20"/>
          <w:szCs w:val="20"/>
          <w:color w:val="auto"/>
        </w:rPr>
      </w:pPr>
      <w:r>
        <w:rPr>
          <w:rFonts w:ascii="Arial" w:cs="Arial" w:eastAsia="Arial" w:hAnsi="Arial"/>
          <w:sz w:val="18"/>
          <w:szCs w:val="18"/>
          <w:color w:val="auto"/>
        </w:rPr>
        <w:t>Due to the recent decline in demand caused by the COVID-19 pandemic, we expect our second quarter 2020 revenue to be down approximately 90% versus the second quarter of 2019, with total system capacity down approximately 75% versus the second quarter of 2019.</w:t>
      </w:r>
    </w:p>
    <w:p>
      <w:pPr>
        <w:spacing w:after="0" w:line="203"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To preserve our liquidity position, we have taken significant cost reduction actions that have removed more than $ 13.5 billion from our operating and capital budgets for 2020. These savings have been achieved through reductions in maintenance expense, marketing expense, event and training expenses, airport facilities expense, salaries and benefits expense, and other volume-related expense reductions, including fuel. Along with these cost-saving actions, we have recently experienced improving demand conditions and we believe we have passed the peak in cash refund activity. As a result, our cash burn rate has decelerated from a peak of over $100 million per day in April to approximately $40 million per day forecasted for the month of June. This marks a $10 million per day improvement for the month of June when compared to our previous forecast for the month of $50 million per day. We are seeking to continue to reduce our cash burn rate as expected demand conditions continue to improve and our cost initiatives continue to gain traction. We define cash burn as the sum of all net cash receipts less all cash disbursements but excluding the effect of new financings and new aircraft purchases.</w:t>
      </w:r>
    </w:p>
    <w:p>
      <w:pPr>
        <w:spacing w:after="0" w:line="206" w:lineRule="exact"/>
        <w:rPr>
          <w:sz w:val="20"/>
          <w:szCs w:val="20"/>
          <w:color w:val="auto"/>
        </w:rPr>
      </w:pPr>
    </w:p>
    <w:p>
      <w:pPr>
        <w:ind w:left="300" w:right="420" w:firstLine="532"/>
        <w:spacing w:after="0"/>
        <w:rPr>
          <w:sz w:val="20"/>
          <w:szCs w:val="20"/>
          <w:color w:val="auto"/>
        </w:rPr>
      </w:pPr>
      <w:r>
        <w:rPr>
          <w:rFonts w:ascii="Arial" w:cs="Arial" w:eastAsia="Arial" w:hAnsi="Arial"/>
          <w:sz w:val="18"/>
          <w:szCs w:val="18"/>
          <w:color w:val="auto"/>
        </w:rPr>
        <w:t>We continue to expect that our liquidity, assuming the secured CARES Act loan of $4.75 billion is committed in June, will amount to approximately $11 billion as of June 30, 2020 without giving effect to any additional financing transactions that may be completed, including the Concurrent Transactions.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Demand and Capacity Update</w:t>
      </w:r>
    </w:p>
    <w:p>
      <w:pPr>
        <w:spacing w:after="0" w:line="126" w:lineRule="exact"/>
        <w:rPr>
          <w:sz w:val="20"/>
          <w:szCs w:val="20"/>
          <w:color w:val="auto"/>
        </w:rPr>
      </w:pPr>
    </w:p>
    <w:p>
      <w:pPr>
        <w:ind w:left="300" w:right="460" w:firstLine="532"/>
        <w:spacing w:after="0"/>
        <w:rPr>
          <w:sz w:val="20"/>
          <w:szCs w:val="20"/>
          <w:color w:val="auto"/>
        </w:rPr>
      </w:pPr>
      <w:r>
        <w:rPr>
          <w:rFonts w:ascii="Arial" w:cs="Arial" w:eastAsia="Arial" w:hAnsi="Arial"/>
          <w:sz w:val="18"/>
          <w:szCs w:val="18"/>
          <w:color w:val="auto"/>
        </w:rPr>
        <w:t>In mid-March, we first observed negative net bookings, where cancellations exceeded new bookings. To better align our capacity with lower expected demand, we reduced our capacity through a combination of schedule reductions and close-in flight cancellations. This negative net booking trend persisted until late April.</w:t>
      </w:r>
    </w:p>
    <w:p>
      <w:pPr>
        <w:spacing w:after="0" w:line="203" w:lineRule="exact"/>
        <w:rPr>
          <w:sz w:val="20"/>
          <w:szCs w:val="20"/>
          <w:color w:val="auto"/>
        </w:rPr>
      </w:pPr>
    </w:p>
    <w:p>
      <w:pPr>
        <w:ind w:left="300" w:right="80" w:firstLine="532"/>
        <w:spacing w:after="0" w:line="246" w:lineRule="auto"/>
        <w:rPr>
          <w:sz w:val="20"/>
          <w:szCs w:val="20"/>
          <w:color w:val="auto"/>
        </w:rPr>
      </w:pPr>
      <w:r>
        <w:rPr>
          <w:rFonts w:ascii="Arial" w:cs="Arial" w:eastAsia="Arial" w:hAnsi="Arial"/>
          <w:sz w:val="18"/>
          <w:szCs w:val="18"/>
          <w:color w:val="auto"/>
        </w:rPr>
        <w:t>Our flown system capacity was down approximately 75% year-over-year in April, and down approximately 80% year-over-year in May. Our June system capacity is expected to be down approximately 75% year-over-year.</w:t>
      </w:r>
    </w:p>
    <w:p>
      <w:pPr>
        <w:spacing w:after="0" w:line="197" w:lineRule="exact"/>
        <w:rPr>
          <w:sz w:val="20"/>
          <w:szCs w:val="20"/>
          <w:color w:val="auto"/>
        </w:rPr>
      </w:pPr>
    </w:p>
    <w:p>
      <w:pPr>
        <w:ind w:left="300" w:right="120" w:firstLine="532"/>
        <w:spacing w:after="0" w:line="237" w:lineRule="auto"/>
        <w:rPr>
          <w:sz w:val="20"/>
          <w:szCs w:val="20"/>
          <w:color w:val="auto"/>
        </w:rPr>
      </w:pPr>
      <w:r>
        <w:rPr>
          <w:rFonts w:ascii="Arial" w:cs="Arial" w:eastAsia="Arial" w:hAnsi="Arial"/>
          <w:sz w:val="18"/>
          <w:szCs w:val="18"/>
          <w:color w:val="auto"/>
        </w:rPr>
        <w:t>As state and local shelter in place restrictions were relaxed, we observed improved passenger demand, particularly in our domestic network. Since the first week of May, our net bookings have been consistently positive and have shown continued signs of improvement. Since the middle of May, we have observed positive net bookings in each of the seven advanced purchase windows that we regularly monitor. These windows include tickets purchased between 1 to 6 days, 7 to 13 days, 14 to 30 days, 31 to 60 days, 61 to 90 days, 91 to 150 days, and 151 to 331 days prior to departure. We believe these trends are an indication of improving passenger demand although at levels significantly below those experienced in the same period in 2019.</w:t>
      </w:r>
    </w:p>
    <w:p>
      <w:pPr>
        <w:spacing w:after="0" w:line="205"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In response to the improving trends in demand, we announced on June 4, 2020 that we are planning to fly 55% of our domestic schedule and nearly 20% of our international schedule in July 2020 compared to the same period last year. Our July system-wide capacity amounts to approximately 40% of July 2019 flying.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table below summarizes recent domestic capacity, load factor and customer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Domestic</w:t>
            </w:r>
          </w:p>
        </w:tc>
        <w:tc>
          <w:tcPr>
            <w:tcW w:w="544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w:t>
            </w: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w:t>
            </w: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w:t>
            </w:r>
          </w:p>
        </w:tc>
        <w:tc>
          <w:tcPr>
            <w:tcW w:w="0" w:type="dxa"/>
            <w:vAlign w:val="bottom"/>
          </w:tcPr>
          <w:p>
            <w:pPr>
              <w:spacing w:after="0"/>
              <w:rPr>
                <w:sz w:val="1"/>
                <w:szCs w:val="1"/>
                <w:color w:val="auto"/>
              </w:rPr>
            </w:pPr>
          </w:p>
        </w:tc>
      </w:tr>
      <w:tr>
        <w:trPr>
          <w:trHeight w:val="20"/>
        </w:trPr>
        <w:tc>
          <w:tcPr>
            <w:tcW w:w="6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Capacity (Year over Year)</w:t>
            </w: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0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Down 70%</w:t>
            </w:r>
          </w:p>
        </w:tc>
        <w:tc>
          <w:tcPr>
            <w:tcW w:w="11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Down 75%</w:t>
            </w: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Down 70%</w:t>
            </w:r>
          </w:p>
        </w:tc>
        <w:tc>
          <w:tcPr>
            <w:tcW w:w="9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Down 45%</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Load Factor</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62%</w:t>
            </w: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Passengers per Day</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31,000</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85,000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129,000</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20" w:right="240" w:hanging="522"/>
        <w:spacing w:after="0" w:line="26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June Load Factor and Passenger data MTD as of June 8, 2020; July Capacity represents anticipated capacity as of the date hereof</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CARES Act</w:t>
      </w:r>
    </w:p>
    <w:p>
      <w:pPr>
        <w:spacing w:after="0" w:line="126"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have applied for a secured loan in the amount of approximately $4.75 billion through the loan program under the CARES Act. Pursuant to this program, the loan is expected to be a five year, senior secured obligation at a variable interest rate of LIBOR plus 3.50% and prepayable at any time without premium. It is our current intention to pledge our domestic AAdvantage loyalty program assets as security for this loan. The most recent third-party appraisal has estimated the value of these assets to be between $19.5 billion and $31.5 billion, a significant portion of which will be pledged as collateral to support the CARES Act loan. Based on this appraisal, we believe there is sufficient collateral to support the CARES Act loan and potentially additional financings, subject to compliance with the ultimate terms and conditions of the CARES Act loan.</w:t>
      </w:r>
    </w:p>
    <w:p>
      <w:pPr>
        <w:spacing w:after="0" w:line="203"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Also in connection with this loan, we would issue to the United States Department of the Treasury (the “Treasury”) additional warrants to purchase approximately 38 million shares of our common stock (assuming a secured loan of approximately $4.75 billion) at an exercise price of $12.51 per share. The loan program warrants will be in addition to, and have the same terms and conditions as, the approximately 13.7 million warrants issuable under the Payroll Support Program (as defined herein) upon our receipt of the full $5.8 billion of payroll assistance to be provided by the Treasury thereunder, which we expect will occur by the end of July 2020. Because these warrants provide for exercise on a “net exercise” basis, the ultimate dilutive impact of these warrants will be dependent on the market price of our common stock at the time the warrants are exercised.</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Treasury loan program continues to progress, and we presently expect to obtain a binding commitment for the loan in June</w:t>
      </w:r>
    </w:p>
    <w:p>
      <w:pPr>
        <w:spacing w:after="0" w:line="7" w:lineRule="exact"/>
        <w:rPr>
          <w:sz w:val="20"/>
          <w:szCs w:val="20"/>
          <w:color w:val="auto"/>
        </w:rPr>
      </w:pPr>
    </w:p>
    <w:p>
      <w:pPr>
        <w:jc w:val="both"/>
        <w:ind w:left="300" w:right="220"/>
        <w:spacing w:after="0"/>
        <w:rPr>
          <w:sz w:val="20"/>
          <w:szCs w:val="20"/>
          <w:color w:val="auto"/>
        </w:rPr>
      </w:pPr>
      <w:r>
        <w:rPr>
          <w:rFonts w:ascii="Arial" w:cs="Arial" w:eastAsia="Arial" w:hAnsi="Arial"/>
          <w:sz w:val="18"/>
          <w:szCs w:val="18"/>
          <w:color w:val="auto"/>
        </w:rPr>
        <w:t>2020. However, we have not yet finalized the terms of a binding commitment or a definitive agreement related to this loan, and thus final terms and conditions and closing remain subject to ongoing negotiation, entry by the parties into definitive documentation and satisfaction of closing conditions.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Unencumbered Assets Available for Potential Financings</w:t>
      </w:r>
    </w:p>
    <w:p>
      <w:pPr>
        <w:spacing w:after="0" w:line="126"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As of the date hereof, based on the most recent third-party appraisals and certain internal estimates and after giving effect to the Concurrent Transactions, we estimate we have approximately $3-4 billion in unencumbered assets available to serve as collateral for additional financing, exclusive of the value of the AAdvantage loyalty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sz w:val="20"/>
          <w:szCs w:val="20"/>
          <w:color w:val="auto"/>
        </w:rPr>
      </w:pPr>
    </w:p>
    <w:p>
      <w:pPr>
        <w:ind w:left="300" w:right="200" w:firstLine="532"/>
        <w:spacing w:after="0" w:line="250"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of the notes described below are subject to important limitations and exceptions that are described in more detail under the caption “Description of Notes.” As used in this section, “we,” “our” and “us” refer to American Airlines Group Inc. and not to its subsidiaries.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200" w:type="dxa"/>
            <w:vAlign w:val="bottom"/>
          </w:tcPr>
          <w:p>
            <w:pPr>
              <w:ind w:left="180"/>
              <w:spacing w:after="0"/>
              <w:rPr>
                <w:sz w:val="20"/>
                <w:szCs w:val="20"/>
                <w:color w:val="auto"/>
              </w:rPr>
            </w:pPr>
            <w:r>
              <w:rPr>
                <w:rFonts w:ascii="Arial" w:cs="Arial" w:eastAsia="Arial" w:hAnsi="Arial"/>
                <w:sz w:val="18"/>
                <w:szCs w:val="18"/>
                <w:color w:val="auto"/>
              </w:rPr>
              <w:t>Issuer</w:t>
            </w:r>
          </w:p>
        </w:tc>
        <w:tc>
          <w:tcPr>
            <w:tcW w:w="7820" w:type="dxa"/>
            <w:vAlign w:val="bottom"/>
          </w:tcPr>
          <w:p>
            <w:pPr>
              <w:ind w:left="2500"/>
              <w:spacing w:after="0"/>
              <w:rPr>
                <w:sz w:val="20"/>
                <w:szCs w:val="20"/>
                <w:color w:val="auto"/>
              </w:rPr>
            </w:pPr>
            <w:r>
              <w:rPr>
                <w:rFonts w:ascii="Arial" w:cs="Arial" w:eastAsia="Arial" w:hAnsi="Arial"/>
                <w:sz w:val="18"/>
                <w:szCs w:val="18"/>
                <w:color w:val="auto"/>
              </w:rPr>
              <w:t>American Airlines Group Inc.</w:t>
            </w:r>
          </w:p>
        </w:tc>
      </w:tr>
      <w:tr>
        <w:trPr>
          <w:trHeight w:val="445"/>
        </w:trPr>
        <w:tc>
          <w:tcPr>
            <w:tcW w:w="3200" w:type="dxa"/>
            <w:vAlign w:val="bottom"/>
          </w:tcPr>
          <w:p>
            <w:pPr>
              <w:ind w:left="180"/>
              <w:spacing w:after="0"/>
              <w:rPr>
                <w:sz w:val="20"/>
                <w:szCs w:val="20"/>
                <w:color w:val="auto"/>
              </w:rPr>
            </w:pPr>
            <w:r>
              <w:rPr>
                <w:rFonts w:ascii="Arial" w:cs="Arial" w:eastAsia="Arial" w:hAnsi="Arial"/>
                <w:sz w:val="18"/>
                <w:szCs w:val="18"/>
                <w:color w:val="auto"/>
              </w:rPr>
              <w:t>Notes</w:t>
            </w:r>
          </w:p>
        </w:tc>
        <w:tc>
          <w:tcPr>
            <w:tcW w:w="7820" w:type="dxa"/>
            <w:vAlign w:val="bottom"/>
          </w:tcPr>
          <w:p>
            <w:pPr>
              <w:ind w:left="2500"/>
              <w:spacing w:after="0"/>
              <w:rPr>
                <w:sz w:val="20"/>
                <w:szCs w:val="20"/>
                <w:color w:val="auto"/>
              </w:rPr>
            </w:pPr>
            <w:r>
              <w:rPr>
                <w:rFonts w:ascii="Arial" w:cs="Arial" w:eastAsia="Arial" w:hAnsi="Arial"/>
                <w:sz w:val="18"/>
                <w:szCs w:val="18"/>
                <w:color w:val="auto"/>
              </w:rPr>
              <w:t>$1,000.0 million aggregate principal amount of 6.50%</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convertible senior notes due 2025. We have granted the</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underwriters an option to purchase, for settlement within a</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period of 30 days from the date of this prospectus supplement,</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up to an additional $150.0 million aggregate principal amount of</w:t>
            </w:r>
          </w:p>
        </w:tc>
      </w:tr>
      <w:tr>
        <w:trPr>
          <w:trHeight w:val="217"/>
        </w:trPr>
        <w:tc>
          <w:tcPr>
            <w:tcW w:w="3200" w:type="dxa"/>
            <w:vAlign w:val="bottom"/>
          </w:tcPr>
          <w:p>
            <w:pPr>
              <w:spacing w:after="0"/>
              <w:rPr>
                <w:sz w:val="18"/>
                <w:szCs w:val="18"/>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notes, solely to cover over-allotments, if any.</w:t>
            </w:r>
          </w:p>
        </w:tc>
      </w:tr>
      <w:tr>
        <w:trPr>
          <w:trHeight w:val="431"/>
        </w:trPr>
        <w:tc>
          <w:tcPr>
            <w:tcW w:w="320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7820" w:type="dxa"/>
            <w:vAlign w:val="bottom"/>
          </w:tcPr>
          <w:p>
            <w:pPr>
              <w:ind w:left="2500"/>
              <w:spacing w:after="0"/>
              <w:rPr>
                <w:sz w:val="20"/>
                <w:szCs w:val="20"/>
                <w:color w:val="auto"/>
              </w:rPr>
            </w:pPr>
            <w:r>
              <w:rPr>
                <w:rFonts w:ascii="Arial" w:cs="Arial" w:eastAsia="Arial" w:hAnsi="Arial"/>
                <w:sz w:val="18"/>
                <w:szCs w:val="18"/>
                <w:color w:val="auto"/>
              </w:rPr>
              <w:t>The notes will be fully and unconditionally guaranteed, on a</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senior, unsecured basis, by our wholly-owned subsidiary,</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American Airlines, Inc., whom we refer to in this prospectus</w:t>
            </w:r>
          </w:p>
        </w:tc>
      </w:tr>
      <w:tr>
        <w:trPr>
          <w:trHeight w:val="217"/>
        </w:trPr>
        <w:tc>
          <w:tcPr>
            <w:tcW w:w="3200" w:type="dxa"/>
            <w:vAlign w:val="bottom"/>
          </w:tcPr>
          <w:p>
            <w:pPr>
              <w:spacing w:after="0"/>
              <w:rPr>
                <w:sz w:val="18"/>
                <w:szCs w:val="18"/>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supplement as the “guarantor.”</w:t>
            </w:r>
          </w:p>
        </w:tc>
      </w:tr>
      <w:tr>
        <w:trPr>
          <w:trHeight w:val="431"/>
        </w:trPr>
        <w:tc>
          <w:tcPr>
            <w:tcW w:w="3200" w:type="dxa"/>
            <w:vAlign w:val="bottom"/>
          </w:tcPr>
          <w:p>
            <w:pPr>
              <w:ind w:left="180"/>
              <w:spacing w:after="0"/>
              <w:rPr>
                <w:sz w:val="20"/>
                <w:szCs w:val="20"/>
                <w:color w:val="auto"/>
              </w:rPr>
            </w:pPr>
            <w:r>
              <w:rPr>
                <w:rFonts w:ascii="Arial" w:cs="Arial" w:eastAsia="Arial" w:hAnsi="Arial"/>
                <w:sz w:val="18"/>
                <w:szCs w:val="18"/>
                <w:color w:val="auto"/>
              </w:rPr>
              <w:t>Ranking</w:t>
            </w:r>
          </w:p>
        </w:tc>
        <w:tc>
          <w:tcPr>
            <w:tcW w:w="7820" w:type="dxa"/>
            <w:vAlign w:val="bottom"/>
          </w:tcPr>
          <w:p>
            <w:pPr>
              <w:ind w:left="2500"/>
              <w:spacing w:after="0"/>
              <w:rPr>
                <w:sz w:val="20"/>
                <w:szCs w:val="20"/>
                <w:color w:val="auto"/>
              </w:rPr>
            </w:pPr>
            <w:r>
              <w:rPr>
                <w:rFonts w:ascii="Arial" w:cs="Arial" w:eastAsia="Arial" w:hAnsi="Arial"/>
                <w:sz w:val="18"/>
                <w:szCs w:val="18"/>
                <w:color w:val="auto"/>
              </w:rPr>
              <w:t>The notes and the guarantee will rank pari passu in right of</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payment with all of our and the guarantor’s respective existing</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and future senior indebtedness and senior in right of payment to</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all of our and the guarantor’s respective future subordinated</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indebtedness. The notes and the guarantee will be effectively</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subordinated to all of our and the guarantor’s respective existing</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and future secured indebtedness to the extent of the value of</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the assets pledged to secure those obligations. The notes will</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also be structurally subordinated to all existing and future</w:t>
            </w:r>
          </w:p>
        </w:tc>
      </w:tr>
      <w:tr>
        <w:trPr>
          <w:trHeight w:val="217"/>
        </w:trPr>
        <w:tc>
          <w:tcPr>
            <w:tcW w:w="3200" w:type="dxa"/>
            <w:vAlign w:val="bottom"/>
          </w:tcPr>
          <w:p>
            <w:pPr>
              <w:spacing w:after="0"/>
              <w:rPr>
                <w:sz w:val="18"/>
                <w:szCs w:val="18"/>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indebtedness of our non-guarantor subsidiaries.</w:t>
            </w:r>
          </w:p>
        </w:tc>
      </w:tr>
      <w:tr>
        <w:trPr>
          <w:trHeight w:val="431"/>
        </w:trPr>
        <w:tc>
          <w:tcPr>
            <w:tcW w:w="3200" w:type="dxa"/>
            <w:vAlign w:val="bottom"/>
          </w:tcPr>
          <w:p>
            <w:pPr>
              <w:ind w:left="180"/>
              <w:spacing w:after="0"/>
              <w:rPr>
                <w:sz w:val="20"/>
                <w:szCs w:val="20"/>
                <w:color w:val="auto"/>
              </w:rPr>
            </w:pPr>
            <w:r>
              <w:rPr>
                <w:rFonts w:ascii="Arial" w:cs="Arial" w:eastAsia="Arial" w:hAnsi="Arial"/>
                <w:sz w:val="18"/>
                <w:szCs w:val="18"/>
                <w:color w:val="auto"/>
              </w:rPr>
              <w:t>Maturity</w:t>
            </w:r>
          </w:p>
        </w:tc>
        <w:tc>
          <w:tcPr>
            <w:tcW w:w="7820" w:type="dxa"/>
            <w:vAlign w:val="bottom"/>
          </w:tcPr>
          <w:p>
            <w:pPr>
              <w:ind w:left="2500"/>
              <w:spacing w:after="0"/>
              <w:rPr>
                <w:sz w:val="20"/>
                <w:szCs w:val="20"/>
                <w:color w:val="auto"/>
              </w:rPr>
            </w:pPr>
            <w:r>
              <w:rPr>
                <w:rFonts w:ascii="Arial" w:cs="Arial" w:eastAsia="Arial" w:hAnsi="Arial"/>
                <w:sz w:val="18"/>
                <w:szCs w:val="18"/>
                <w:color w:val="auto"/>
              </w:rPr>
              <w:t>July 1, 2025, unless earlier repurchased, redeemed or</w:t>
            </w:r>
          </w:p>
        </w:tc>
      </w:tr>
      <w:tr>
        <w:trPr>
          <w:trHeight w:val="217"/>
        </w:trPr>
        <w:tc>
          <w:tcPr>
            <w:tcW w:w="3200" w:type="dxa"/>
            <w:vAlign w:val="bottom"/>
          </w:tcPr>
          <w:p>
            <w:pPr>
              <w:spacing w:after="0"/>
              <w:rPr>
                <w:sz w:val="18"/>
                <w:szCs w:val="18"/>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converted.</w:t>
            </w:r>
          </w:p>
        </w:tc>
      </w:tr>
      <w:tr>
        <w:trPr>
          <w:trHeight w:val="431"/>
        </w:trPr>
        <w:tc>
          <w:tcPr>
            <w:tcW w:w="32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820" w:type="dxa"/>
            <w:vAlign w:val="bottom"/>
          </w:tcPr>
          <w:p>
            <w:pPr>
              <w:ind w:left="2500"/>
              <w:spacing w:after="0"/>
              <w:rPr>
                <w:sz w:val="20"/>
                <w:szCs w:val="20"/>
                <w:color w:val="auto"/>
              </w:rPr>
            </w:pPr>
            <w:r>
              <w:rPr>
                <w:rFonts w:ascii="Arial" w:cs="Arial" w:eastAsia="Arial" w:hAnsi="Arial"/>
                <w:sz w:val="18"/>
                <w:szCs w:val="18"/>
                <w:color w:val="auto"/>
              </w:rPr>
              <w:t>6.50% per annum, payable semi-annually in arrears on</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January 1 and July 1 of each year, beginning on January 1,</w:t>
            </w:r>
          </w:p>
        </w:tc>
      </w:tr>
      <w:tr>
        <w:trPr>
          <w:trHeight w:val="203"/>
        </w:trPr>
        <w:tc>
          <w:tcPr>
            <w:tcW w:w="3200" w:type="dxa"/>
            <w:vAlign w:val="bottom"/>
          </w:tcPr>
          <w:p>
            <w:pPr>
              <w:spacing w:after="0"/>
              <w:rPr>
                <w:sz w:val="17"/>
                <w:szCs w:val="17"/>
                <w:color w:val="auto"/>
              </w:rPr>
            </w:pPr>
          </w:p>
        </w:tc>
        <w:tc>
          <w:tcPr>
            <w:tcW w:w="7820" w:type="dxa"/>
            <w:vAlign w:val="bottom"/>
          </w:tcPr>
          <w:p>
            <w:pPr>
              <w:ind w:left="2500"/>
              <w:spacing w:after="0" w:line="202" w:lineRule="exact"/>
              <w:rPr>
                <w:sz w:val="20"/>
                <w:szCs w:val="20"/>
                <w:color w:val="auto"/>
              </w:rPr>
            </w:pPr>
            <w:r>
              <w:rPr>
                <w:rFonts w:ascii="Arial" w:cs="Arial" w:eastAsia="Arial" w:hAnsi="Arial"/>
                <w:sz w:val="18"/>
                <w:szCs w:val="18"/>
                <w:color w:val="auto"/>
              </w:rPr>
              <w:t>2021. In addition, special interest will accrue on the notes in the</w:t>
            </w:r>
          </w:p>
        </w:tc>
      </w:tr>
      <w:tr>
        <w:trPr>
          <w:trHeight w:val="185"/>
        </w:trPr>
        <w:tc>
          <w:tcPr>
            <w:tcW w:w="3200" w:type="dxa"/>
            <w:vAlign w:val="bottom"/>
          </w:tcPr>
          <w:p>
            <w:pPr>
              <w:spacing w:after="0"/>
              <w:rPr>
                <w:sz w:val="16"/>
                <w:szCs w:val="16"/>
                <w:color w:val="auto"/>
              </w:rPr>
            </w:pPr>
          </w:p>
        </w:tc>
        <w:tc>
          <w:tcPr>
            <w:tcW w:w="7820" w:type="dxa"/>
            <w:vAlign w:val="bottom"/>
          </w:tcPr>
          <w:p>
            <w:pPr>
              <w:ind w:left="2500"/>
              <w:spacing w:after="0" w:line="184" w:lineRule="exact"/>
              <w:rPr>
                <w:sz w:val="20"/>
                <w:szCs w:val="20"/>
                <w:color w:val="auto"/>
              </w:rPr>
            </w:pPr>
            <w:r>
              <w:rPr>
                <w:rFonts w:ascii="Arial" w:cs="Arial" w:eastAsia="Arial" w:hAnsi="Arial"/>
                <w:sz w:val="18"/>
                <w:szCs w:val="18"/>
                <w:color w:val="auto"/>
              </w:rPr>
              <w:t>circumstances described under the captions “Description of</w:t>
            </w:r>
          </w:p>
        </w:tc>
      </w:tr>
      <w:tr>
        <w:trPr>
          <w:trHeight w:val="220"/>
        </w:trPr>
        <w:tc>
          <w:tcPr>
            <w:tcW w:w="3200" w:type="dxa"/>
            <w:vAlign w:val="bottom"/>
          </w:tcPr>
          <w:p>
            <w:pPr>
              <w:spacing w:after="0"/>
              <w:rPr>
                <w:sz w:val="19"/>
                <w:szCs w:val="19"/>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Notes</w:t>
            </w:r>
            <w:r>
              <w:rPr>
                <w:rFonts w:ascii="Arial" w:cs="Arial" w:eastAsia="Arial" w:hAnsi="Arial"/>
                <w:sz w:val="18"/>
                <w:szCs w:val="18"/>
                <w:i w:val="1"/>
                <w:iCs w:val="1"/>
                <w:color w:val="auto"/>
              </w:rPr>
              <w:t>—</w:t>
            </w:r>
            <w:r>
              <w:rPr>
                <w:rFonts w:ascii="Arial" w:cs="Arial" w:eastAsia="Arial" w:hAnsi="Arial"/>
                <w:sz w:val="18"/>
                <w:szCs w:val="18"/>
                <w:color w:val="auto"/>
              </w:rPr>
              <w:t>Events of Default—Special Interest as Sole Remedy for</w:t>
            </w:r>
          </w:p>
        </w:tc>
      </w:tr>
      <w:tr>
        <w:trPr>
          <w:trHeight w:val="217"/>
        </w:trPr>
        <w:tc>
          <w:tcPr>
            <w:tcW w:w="3200" w:type="dxa"/>
            <w:vAlign w:val="bottom"/>
          </w:tcPr>
          <w:p>
            <w:pPr>
              <w:spacing w:after="0"/>
              <w:rPr>
                <w:sz w:val="18"/>
                <w:szCs w:val="18"/>
                <w:color w:val="auto"/>
              </w:rPr>
            </w:pPr>
          </w:p>
        </w:tc>
        <w:tc>
          <w:tcPr>
            <w:tcW w:w="7820" w:type="dxa"/>
            <w:vAlign w:val="bottom"/>
          </w:tcPr>
          <w:p>
            <w:pPr>
              <w:ind w:left="2500"/>
              <w:spacing w:after="0"/>
              <w:rPr>
                <w:sz w:val="20"/>
                <w:szCs w:val="20"/>
                <w:color w:val="auto"/>
              </w:rPr>
            </w:pPr>
            <w:r>
              <w:rPr>
                <w:rFonts w:ascii="Arial" w:cs="Arial" w:eastAsia="Arial" w:hAnsi="Arial"/>
                <w:sz w:val="18"/>
                <w:szCs w:val="18"/>
                <w:color w:val="auto"/>
              </w:rPr>
              <w:t>Certain Reporting Defaults.”</w:t>
            </w:r>
          </w:p>
        </w:tc>
      </w:tr>
      <w:tr>
        <w:trPr>
          <w:trHeight w:val="226"/>
        </w:trPr>
        <w:tc>
          <w:tcPr>
            <w:tcW w:w="320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tcPr>
          <w:p>
            <w:pPr>
              <w:spacing w:after="0"/>
              <w:rPr>
                <w:sz w:val="19"/>
                <w:szCs w:val="19"/>
                <w:color w:val="auto"/>
              </w:rPr>
            </w:pPr>
          </w:p>
        </w:tc>
      </w:tr>
      <w:tr>
        <w:trPr>
          <w:trHeight w:val="604"/>
        </w:trPr>
        <w:tc>
          <w:tcPr>
            <w:tcW w:w="3200" w:type="dxa"/>
            <w:vAlign w:val="bottom"/>
          </w:tcPr>
          <w:p>
            <w:pPr>
              <w:spacing w:after="0"/>
              <w:rPr>
                <w:sz w:val="24"/>
                <w:szCs w:val="24"/>
                <w:color w:val="auto"/>
              </w:rPr>
            </w:pPr>
          </w:p>
        </w:tc>
        <w:tc>
          <w:tcPr>
            <w:tcW w:w="7820" w:type="dxa"/>
            <w:vAlign w:val="bottom"/>
          </w:tcPr>
          <w:p>
            <w:pPr>
              <w:ind w:left="21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67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Conversion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Noteholders may convert their notes at their option only in the following circumstances:</w:t>
      </w:r>
    </w:p>
    <w:p>
      <w:pPr>
        <w:spacing w:after="0" w:line="98" w:lineRule="exact"/>
        <w:rPr>
          <w:sz w:val="20"/>
          <w:szCs w:val="20"/>
          <w:color w:val="auto"/>
        </w:rPr>
      </w:pPr>
    </w:p>
    <w:p>
      <w:pPr>
        <w:sectPr>
          <w:pgSz w:w="11900" w:h="16838" w:orient="portrait"/>
          <w:cols w:equalWidth="0" w:num="2">
            <w:col w:w="5100" w:space="720"/>
            <w:col w:w="5100"/>
          </w:cols>
          <w:pgMar w:left="320" w:top="459" w:right="659" w:bottom="1440" w:gutter="0" w:footer="0" w:header="0"/>
          <w:type w:val="continuous"/>
        </w:sectPr>
      </w:pPr>
    </w:p>
    <w:p>
      <w:pPr>
        <w:ind w:left="5860"/>
        <w:spacing w:after="0"/>
        <w:rPr>
          <w:sz w:val="20"/>
          <w:szCs w:val="20"/>
          <w:color w:val="auto"/>
        </w:rPr>
      </w:pPr>
      <w:r>
        <w:rPr>
          <w:rFonts w:ascii="Arial" w:cs="Arial" w:eastAsia="Arial" w:hAnsi="Arial"/>
          <w:sz w:val="18"/>
          <w:szCs w:val="18"/>
          <w:color w:val="auto"/>
        </w:rPr>
        <w:t>• during any calendar quarter commencing after the calendar</w:t>
      </w:r>
    </w:p>
    <w:p>
      <w:pPr>
        <w:ind w:left="6000"/>
        <w:spacing w:after="0" w:line="234" w:lineRule="auto"/>
        <w:rPr>
          <w:sz w:val="20"/>
          <w:szCs w:val="20"/>
          <w:color w:val="auto"/>
        </w:rPr>
      </w:pPr>
      <w:r>
        <w:rPr>
          <w:rFonts w:ascii="Arial" w:cs="Arial" w:eastAsia="Arial" w:hAnsi="Arial"/>
          <w:sz w:val="18"/>
          <w:szCs w:val="18"/>
          <w:color w:val="auto"/>
        </w:rPr>
        <w:t>quarter ending on September 30, 2020, if the last reported</w:t>
      </w:r>
    </w:p>
    <w:p>
      <w:pPr>
        <w:ind w:left="6000"/>
        <w:spacing w:after="0" w:line="235" w:lineRule="auto"/>
        <w:rPr>
          <w:sz w:val="20"/>
          <w:szCs w:val="20"/>
          <w:color w:val="auto"/>
        </w:rPr>
      </w:pPr>
      <w:r>
        <w:rPr>
          <w:rFonts w:ascii="Arial" w:cs="Arial" w:eastAsia="Arial" w:hAnsi="Arial"/>
          <w:sz w:val="18"/>
          <w:szCs w:val="18"/>
          <w:color w:val="auto"/>
        </w:rPr>
        <w:t>sale price per share of our common stock exceeds 130% of</w:t>
      </w:r>
    </w:p>
    <w:p>
      <w:pPr>
        <w:ind w:left="6000"/>
        <w:spacing w:after="0" w:line="235" w:lineRule="auto"/>
        <w:rPr>
          <w:sz w:val="20"/>
          <w:szCs w:val="20"/>
          <w:color w:val="auto"/>
        </w:rPr>
      </w:pPr>
      <w:r>
        <w:rPr>
          <w:rFonts w:ascii="Arial" w:cs="Arial" w:eastAsia="Arial" w:hAnsi="Arial"/>
          <w:sz w:val="18"/>
          <w:szCs w:val="18"/>
          <w:color w:val="auto"/>
        </w:rPr>
        <w:t>the conversion price for each of at least 20 trading days</w:t>
      </w:r>
    </w:p>
    <w:p>
      <w:pPr>
        <w:ind w:left="6000"/>
        <w:spacing w:after="0" w:line="235" w:lineRule="auto"/>
        <w:rPr>
          <w:sz w:val="20"/>
          <w:szCs w:val="20"/>
          <w:color w:val="auto"/>
        </w:rPr>
      </w:pPr>
      <w:r>
        <w:rPr>
          <w:rFonts w:ascii="Arial" w:cs="Arial" w:eastAsia="Arial" w:hAnsi="Arial"/>
          <w:sz w:val="18"/>
          <w:szCs w:val="18"/>
          <w:color w:val="auto"/>
        </w:rPr>
        <w:t>during the 30 consecutive trading days ending on, and</w:t>
      </w:r>
    </w:p>
    <w:p>
      <w:pPr>
        <w:ind w:left="6000"/>
        <w:spacing w:after="0" w:line="235" w:lineRule="auto"/>
        <w:rPr>
          <w:sz w:val="20"/>
          <w:szCs w:val="20"/>
          <w:color w:val="auto"/>
        </w:rPr>
      </w:pPr>
      <w:r>
        <w:rPr>
          <w:rFonts w:ascii="Arial" w:cs="Arial" w:eastAsia="Arial" w:hAnsi="Arial"/>
          <w:sz w:val="18"/>
          <w:szCs w:val="18"/>
          <w:color w:val="auto"/>
        </w:rPr>
        <w:t>including, the last trading day of the immediately preceding</w:t>
      </w:r>
    </w:p>
    <w:p>
      <w:pPr>
        <w:ind w:left="6000"/>
        <w:spacing w:after="0"/>
        <w:rPr>
          <w:sz w:val="20"/>
          <w:szCs w:val="20"/>
          <w:color w:val="auto"/>
        </w:rPr>
      </w:pPr>
      <w:r>
        <w:rPr>
          <w:rFonts w:ascii="Arial" w:cs="Arial" w:eastAsia="Arial" w:hAnsi="Arial"/>
          <w:sz w:val="18"/>
          <w:szCs w:val="18"/>
          <w:color w:val="auto"/>
        </w:rPr>
        <w:t>calendar quarter;</w:t>
      </w:r>
    </w:p>
    <w:p>
      <w:pPr>
        <w:spacing w:after="0" w:line="1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during the five consecutive business days immediately after</w:t>
      </w:r>
    </w:p>
    <w:p>
      <w:pPr>
        <w:ind w:left="6000"/>
        <w:spacing w:after="0" w:line="234" w:lineRule="auto"/>
        <w:rPr>
          <w:sz w:val="20"/>
          <w:szCs w:val="20"/>
          <w:color w:val="auto"/>
        </w:rPr>
      </w:pPr>
      <w:r>
        <w:rPr>
          <w:rFonts w:ascii="Arial" w:cs="Arial" w:eastAsia="Arial" w:hAnsi="Arial"/>
          <w:sz w:val="18"/>
          <w:szCs w:val="18"/>
          <w:color w:val="auto"/>
        </w:rPr>
        <w:t>any 10 consecutive trading day period (such 10 consecutive</w:t>
      </w:r>
    </w:p>
    <w:p>
      <w:pPr>
        <w:ind w:left="6000"/>
        <w:spacing w:after="0" w:line="235" w:lineRule="auto"/>
        <w:rPr>
          <w:sz w:val="20"/>
          <w:szCs w:val="20"/>
          <w:color w:val="auto"/>
        </w:rPr>
      </w:pPr>
      <w:r>
        <w:rPr>
          <w:rFonts w:ascii="Arial" w:cs="Arial" w:eastAsia="Arial" w:hAnsi="Arial"/>
          <w:sz w:val="18"/>
          <w:szCs w:val="18"/>
          <w:color w:val="auto"/>
        </w:rPr>
        <w:t>trading day period, the “measurement period”) in which the</w:t>
      </w:r>
    </w:p>
    <w:p>
      <w:pPr>
        <w:ind w:left="6000"/>
        <w:spacing w:after="0" w:line="235" w:lineRule="auto"/>
        <w:rPr>
          <w:sz w:val="20"/>
          <w:szCs w:val="20"/>
          <w:color w:val="auto"/>
        </w:rPr>
      </w:pPr>
      <w:r>
        <w:rPr>
          <w:rFonts w:ascii="Arial" w:cs="Arial" w:eastAsia="Arial" w:hAnsi="Arial"/>
          <w:sz w:val="18"/>
          <w:szCs w:val="18"/>
          <w:color w:val="auto"/>
        </w:rPr>
        <w:t>trading price per $1,000 principal amount of notes for each</w:t>
      </w:r>
    </w:p>
    <w:p>
      <w:pPr>
        <w:ind w:left="6000"/>
        <w:spacing w:after="0" w:line="235" w:lineRule="auto"/>
        <w:rPr>
          <w:sz w:val="20"/>
          <w:szCs w:val="20"/>
          <w:color w:val="auto"/>
        </w:rPr>
      </w:pPr>
      <w:r>
        <w:rPr>
          <w:rFonts w:ascii="Arial" w:cs="Arial" w:eastAsia="Arial" w:hAnsi="Arial"/>
          <w:sz w:val="18"/>
          <w:szCs w:val="18"/>
          <w:color w:val="auto"/>
        </w:rPr>
        <w:t>trading day of the measurement period was less than 98% of</w:t>
      </w:r>
    </w:p>
    <w:p>
      <w:pPr>
        <w:ind w:left="6000"/>
        <w:spacing w:after="0" w:line="235" w:lineRule="auto"/>
        <w:rPr>
          <w:sz w:val="20"/>
          <w:szCs w:val="20"/>
          <w:color w:val="auto"/>
        </w:rPr>
      </w:pPr>
      <w:r>
        <w:rPr>
          <w:rFonts w:ascii="Arial" w:cs="Arial" w:eastAsia="Arial" w:hAnsi="Arial"/>
          <w:sz w:val="18"/>
          <w:szCs w:val="18"/>
          <w:color w:val="auto"/>
        </w:rPr>
        <w:t>the product of the last reported sale price per share of our</w:t>
      </w:r>
    </w:p>
    <w:p>
      <w:pPr>
        <w:ind w:left="6000"/>
        <w:spacing w:after="0" w:line="234" w:lineRule="auto"/>
        <w:rPr>
          <w:sz w:val="20"/>
          <w:szCs w:val="20"/>
          <w:color w:val="auto"/>
        </w:rPr>
      </w:pPr>
      <w:r>
        <w:rPr>
          <w:rFonts w:ascii="Arial" w:cs="Arial" w:eastAsia="Arial" w:hAnsi="Arial"/>
          <w:sz w:val="18"/>
          <w:szCs w:val="18"/>
          <w:color w:val="auto"/>
        </w:rPr>
        <w:t>common stock on such trading day and the conversion rate</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on such trading day;</w:t>
      </w:r>
    </w:p>
    <w:p>
      <w:pPr>
        <w:spacing w:after="0" w:line="1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upon the occurrence of certain corporate events or</w:t>
      </w:r>
    </w:p>
    <w:p>
      <w:pPr>
        <w:ind w:left="6000"/>
        <w:spacing w:after="0" w:line="234" w:lineRule="auto"/>
        <w:rPr>
          <w:sz w:val="20"/>
          <w:szCs w:val="20"/>
          <w:color w:val="auto"/>
        </w:rPr>
      </w:pPr>
      <w:r>
        <w:rPr>
          <w:rFonts w:ascii="Arial" w:cs="Arial" w:eastAsia="Arial" w:hAnsi="Arial"/>
          <w:sz w:val="18"/>
          <w:szCs w:val="18"/>
          <w:color w:val="auto"/>
        </w:rPr>
        <w:t>distributions on our common stock, as described in this</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prospectus supplement;</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if we call such notes for redemption; and</w:t>
      </w:r>
    </w:p>
    <w:p>
      <w:pPr>
        <w:spacing w:after="0" w:line="1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at any time from, and including, April 1, 2025 until the close of</w:t>
      </w:r>
    </w:p>
    <w:p>
      <w:pPr>
        <w:ind w:left="6000"/>
        <w:spacing w:after="0" w:line="234" w:lineRule="auto"/>
        <w:rPr>
          <w:sz w:val="20"/>
          <w:szCs w:val="20"/>
          <w:color w:val="auto"/>
        </w:rPr>
      </w:pPr>
      <w:r>
        <w:rPr>
          <w:rFonts w:ascii="Arial" w:cs="Arial" w:eastAsia="Arial" w:hAnsi="Arial"/>
          <w:sz w:val="18"/>
          <w:szCs w:val="18"/>
          <w:color w:val="auto"/>
        </w:rPr>
        <w:t>business on the second scheduled trading day immediately</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before the maturity date.</w:t>
      </w:r>
    </w:p>
    <w:p>
      <w:pPr>
        <w:sectPr>
          <w:pgSz w:w="11900" w:h="16838" w:orient="portrait"/>
          <w:cols w:equalWidth="0" w:num="1">
            <w:col w:w="10920"/>
          </w:cols>
          <w:pgMar w:left="320" w:top="459" w:right="659" w:bottom="1440" w:gutter="0" w:footer="0" w:header="0"/>
          <w:type w:val="continuous"/>
        </w:sectPr>
      </w:pPr>
    </w:p>
    <w:p>
      <w:pPr>
        <w:spacing w:after="0" w:line="23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We will settle conversions by paying or delivering, as applicable,</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cash, shares of our common stock or a combination of cash and</w:t>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shares of our common stock, at our election, based on the</w:t>
      </w:r>
    </w:p>
    <w:p>
      <w:pPr>
        <w:ind w:left="5820"/>
        <w:spacing w:after="0" w:line="234" w:lineRule="auto"/>
        <w:rPr>
          <w:sz w:val="20"/>
          <w:szCs w:val="20"/>
          <w:color w:val="auto"/>
        </w:rPr>
      </w:pPr>
      <w:r>
        <w:rPr>
          <w:rFonts w:ascii="Arial" w:cs="Arial" w:eastAsia="Arial" w:hAnsi="Arial"/>
          <w:sz w:val="18"/>
          <w:szCs w:val="18"/>
          <w:color w:val="auto"/>
        </w:rPr>
        <w:t>applicable conversion rate(s). If we elect to deliver cash or a</w:t>
      </w:r>
    </w:p>
    <w:p>
      <w:pPr>
        <w:ind w:left="5820"/>
        <w:spacing w:after="0" w:line="235" w:lineRule="auto"/>
        <w:rPr>
          <w:sz w:val="20"/>
          <w:szCs w:val="20"/>
          <w:color w:val="auto"/>
        </w:rPr>
      </w:pPr>
      <w:r>
        <w:rPr>
          <w:rFonts w:ascii="Arial" w:cs="Arial" w:eastAsia="Arial" w:hAnsi="Arial"/>
          <w:sz w:val="18"/>
          <w:szCs w:val="18"/>
          <w:color w:val="auto"/>
        </w:rPr>
        <w:t>combination of cash and shares of our common stock, then the</w:t>
      </w:r>
    </w:p>
    <w:p>
      <w:pPr>
        <w:ind w:left="5820"/>
        <w:spacing w:after="0" w:line="235" w:lineRule="auto"/>
        <w:rPr>
          <w:sz w:val="20"/>
          <w:szCs w:val="20"/>
          <w:color w:val="auto"/>
        </w:rPr>
      </w:pPr>
      <w:r>
        <w:rPr>
          <w:rFonts w:ascii="Arial" w:cs="Arial" w:eastAsia="Arial" w:hAnsi="Arial"/>
          <w:sz w:val="18"/>
          <w:szCs w:val="18"/>
          <w:color w:val="auto"/>
        </w:rPr>
        <w:t>consideration due upon conversion will be based on an</w:t>
      </w:r>
    </w:p>
    <w:p>
      <w:pPr>
        <w:ind w:left="5820"/>
        <w:spacing w:after="0" w:line="235" w:lineRule="auto"/>
        <w:rPr>
          <w:sz w:val="20"/>
          <w:szCs w:val="20"/>
          <w:color w:val="auto"/>
        </w:rPr>
      </w:pPr>
      <w:r>
        <w:rPr>
          <w:rFonts w:ascii="Arial" w:cs="Arial" w:eastAsia="Arial" w:hAnsi="Arial"/>
          <w:sz w:val="18"/>
          <w:szCs w:val="18"/>
          <w:color w:val="auto"/>
        </w:rPr>
        <w:t>observation period consisting of 20 “VWAP trading days” (as</w:t>
      </w:r>
    </w:p>
    <w:p>
      <w:pPr>
        <w:ind w:left="5820"/>
        <w:spacing w:after="0" w:line="235" w:lineRule="auto"/>
        <w:rPr>
          <w:sz w:val="20"/>
          <w:szCs w:val="20"/>
          <w:color w:val="auto"/>
        </w:rPr>
      </w:pPr>
      <w:r>
        <w:rPr>
          <w:rFonts w:ascii="Arial" w:cs="Arial" w:eastAsia="Arial" w:hAnsi="Arial"/>
          <w:sz w:val="18"/>
          <w:szCs w:val="18"/>
          <w:color w:val="auto"/>
        </w:rPr>
        <w:t>defined in this prospectus supplement). The initial conversion</w:t>
      </w:r>
    </w:p>
    <w:p>
      <w:pPr>
        <w:ind w:left="5820"/>
        <w:spacing w:after="0" w:line="234" w:lineRule="auto"/>
        <w:rPr>
          <w:sz w:val="20"/>
          <w:szCs w:val="20"/>
          <w:color w:val="auto"/>
        </w:rPr>
      </w:pPr>
      <w:r>
        <w:rPr>
          <w:rFonts w:ascii="Arial" w:cs="Arial" w:eastAsia="Arial" w:hAnsi="Arial"/>
          <w:sz w:val="18"/>
          <w:szCs w:val="18"/>
          <w:color w:val="auto"/>
        </w:rPr>
        <w:t>rate is 61.7284 shares per $1,000 principal amount of notes,</w:t>
      </w:r>
    </w:p>
    <w:p>
      <w:pPr>
        <w:ind w:left="5820"/>
        <w:spacing w:after="0" w:line="235" w:lineRule="auto"/>
        <w:rPr>
          <w:sz w:val="20"/>
          <w:szCs w:val="20"/>
          <w:color w:val="auto"/>
        </w:rPr>
      </w:pPr>
      <w:r>
        <w:rPr>
          <w:rFonts w:ascii="Arial" w:cs="Arial" w:eastAsia="Arial" w:hAnsi="Arial"/>
          <w:sz w:val="18"/>
          <w:szCs w:val="18"/>
          <w:color w:val="auto"/>
        </w:rPr>
        <w:t>which represents an initial conversion price of approximately</w:t>
      </w:r>
    </w:p>
    <w:p>
      <w:pPr>
        <w:ind w:left="5820"/>
        <w:spacing w:after="0" w:line="235" w:lineRule="auto"/>
        <w:rPr>
          <w:sz w:val="20"/>
          <w:szCs w:val="20"/>
          <w:color w:val="auto"/>
        </w:rPr>
      </w:pPr>
      <w:r>
        <w:rPr>
          <w:rFonts w:ascii="Arial" w:cs="Arial" w:eastAsia="Arial" w:hAnsi="Arial"/>
          <w:sz w:val="18"/>
          <w:szCs w:val="18"/>
          <w:color w:val="auto"/>
        </w:rPr>
        <w:t>$16.20 per share, and is subject to adjustment as described in</w:t>
      </w:r>
    </w:p>
    <w:p>
      <w:pPr>
        <w:ind w:left="5820"/>
        <w:spacing w:after="0"/>
        <w:rPr>
          <w:sz w:val="20"/>
          <w:szCs w:val="20"/>
          <w:color w:val="auto"/>
        </w:rPr>
      </w:pPr>
      <w:r>
        <w:rPr>
          <w:rFonts w:ascii="Arial" w:cs="Arial" w:eastAsia="Arial" w:hAnsi="Arial"/>
          <w:sz w:val="18"/>
          <w:szCs w:val="18"/>
          <w:color w:val="auto"/>
        </w:rPr>
        <w:t>this prospectus supplement.</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If a “make-whole fundamental change” (as defined in this</w:t>
      </w:r>
    </w:p>
    <w:p>
      <w:pPr>
        <w:ind w:left="5820"/>
        <w:spacing w:after="0"/>
        <w:rPr>
          <w:sz w:val="20"/>
          <w:szCs w:val="20"/>
          <w:color w:val="auto"/>
        </w:rPr>
      </w:pPr>
      <w:r>
        <w:rPr>
          <w:rFonts w:ascii="Arial" w:cs="Arial" w:eastAsia="Arial" w:hAnsi="Arial"/>
          <w:sz w:val="18"/>
          <w:szCs w:val="18"/>
          <w:color w:val="auto"/>
        </w:rPr>
        <w:t>prospectus supplement) occurs,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S-5</w:t>
      </w:r>
    </w:p>
    <w:p>
      <w:pPr>
        <w:sectPr>
          <w:pgSz w:w="11900" w:h="16838" w:orient="portrait"/>
          <w:cols w:equalWidth="0" w:num="1">
            <w:col w:w="10920"/>
          </w:cols>
          <w:pgMar w:left="32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5680" w:type="dxa"/>
            <w:vAlign w:val="bottom"/>
            <w:tcBorders>
              <w:top w:val="single" w:sz="8" w:color="auto"/>
              <w:left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then we will in certain circumstances increase the conversion</w:t>
            </w:r>
          </w:p>
        </w:tc>
      </w:tr>
      <w:tr>
        <w:trPr>
          <w:trHeight w:val="217"/>
        </w:trPr>
        <w:tc>
          <w:tcPr>
            <w:tcW w:w="568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rate for a specified period of time.</w:t>
            </w:r>
          </w:p>
        </w:tc>
      </w:tr>
      <w:tr>
        <w:trPr>
          <w:trHeight w:val="459"/>
        </w:trPr>
        <w:tc>
          <w:tcPr>
            <w:tcW w:w="5680" w:type="dxa"/>
            <w:vAlign w:val="bottom"/>
            <w:tcBorders>
              <w:left w:val="single" w:sz="8" w:color="auto"/>
            </w:tcBorders>
          </w:tcPr>
          <w:p>
            <w:pPr>
              <w:spacing w:after="0"/>
              <w:rPr>
                <w:sz w:val="24"/>
                <w:szCs w:val="24"/>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“Description of Notes</w:t>
            </w:r>
            <w:r>
              <w:rPr>
                <w:rFonts w:ascii="Arial" w:cs="Arial" w:eastAsia="Arial" w:hAnsi="Arial"/>
                <w:sz w:val="18"/>
                <w:szCs w:val="18"/>
                <w:i w:val="1"/>
                <w:iCs w:val="1"/>
                <w:color w:val="auto"/>
              </w:rPr>
              <w:t>—</w:t>
            </w:r>
            <w:r>
              <w:rPr>
                <w:rFonts w:ascii="Arial" w:cs="Arial" w:eastAsia="Arial" w:hAnsi="Arial"/>
                <w:sz w:val="18"/>
                <w:szCs w:val="18"/>
                <w:color w:val="auto"/>
              </w:rPr>
              <w:t>Conversion Rights.”</w:t>
            </w:r>
          </w:p>
        </w:tc>
      </w:tr>
      <w:tr>
        <w:trPr>
          <w:trHeight w:val="431"/>
        </w:trPr>
        <w:tc>
          <w:tcPr>
            <w:tcW w:w="5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w:t>
            </w: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notes will be redeemable, in whole or in part, at our option</w:t>
            </w:r>
          </w:p>
        </w:tc>
      </w:tr>
      <w:tr>
        <w:trPr>
          <w:trHeight w:val="200"/>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18"/>
                <w:szCs w:val="18"/>
                <w:color w:val="auto"/>
              </w:rPr>
              <w:t>at any time, and from time to time, on or after July 5, 2023 and</w:t>
            </w:r>
          </w:p>
        </w:tc>
      </w:tr>
      <w:tr>
        <w:trPr>
          <w:trHeight w:val="205"/>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on or before the 20</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 before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maturity date, at a cash redemption price equal to the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principal amount of the notes to be redeemed, plus accrued and</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unpaid interest, if any, to, but excluding, the redemption date,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but only if the last reported sale price per share of our common</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stock exceeds 130% of the conversion price on (1) each of at</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least 20 trading days, whether or not consecutive, during the 30</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consecutive trading days ending on, and including, the trading</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day immediately before the date we send the related</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redemption notice; and (2) the trading day immediately before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date we send such notice. In addition, calling any note for</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redemption will constitute a make-whole fundamental change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with respect to that note, in which case the conversion rate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applicable to the conversion of that note will be increased in</w:t>
            </w:r>
          </w:p>
        </w:tc>
      </w:tr>
      <w:tr>
        <w:trPr>
          <w:trHeight w:val="184"/>
        </w:trPr>
        <w:tc>
          <w:tcPr>
            <w:tcW w:w="568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color w:val="auto"/>
              </w:rPr>
              <w:t>certain circumstances if it is converted in connection with such</w:t>
            </w:r>
          </w:p>
        </w:tc>
      </w:tr>
      <w:tr>
        <w:trPr>
          <w:trHeight w:val="235"/>
        </w:trPr>
        <w:tc>
          <w:tcPr>
            <w:tcW w:w="568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redemption. See “Description of Notes</w:t>
            </w:r>
            <w:r>
              <w:rPr>
                <w:rFonts w:ascii="Arial" w:cs="Arial" w:eastAsia="Arial" w:hAnsi="Arial"/>
                <w:sz w:val="18"/>
                <w:szCs w:val="18"/>
                <w:i w:val="1"/>
                <w:iCs w:val="1"/>
                <w:color w:val="auto"/>
              </w:rPr>
              <w:t>—</w:t>
            </w:r>
            <w:r>
              <w:rPr>
                <w:rFonts w:ascii="Arial" w:cs="Arial" w:eastAsia="Arial" w:hAnsi="Arial"/>
                <w:sz w:val="18"/>
                <w:szCs w:val="18"/>
                <w:color w:val="auto"/>
              </w:rPr>
              <w:t>Optional Redemption.”</w:t>
            </w:r>
          </w:p>
        </w:tc>
      </w:tr>
      <w:tr>
        <w:trPr>
          <w:trHeight w:val="553"/>
        </w:trPr>
        <w:tc>
          <w:tcPr>
            <w:tcW w:w="5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Repurchase at the Option of the Noteholders After a Fundamental</w:t>
            </w: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If a “fundamental change” (as defined in this prospectus</w:t>
            </w:r>
          </w:p>
        </w:tc>
      </w:tr>
      <w:tr>
        <w:trPr>
          <w:trHeight w:val="203"/>
        </w:trPr>
        <w:tc>
          <w:tcPr>
            <w:tcW w:w="568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Change</w:t>
            </w: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supplement) occurs, then, except as described in this</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prospectus supplement, noteholders may require us to</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repurchase their notes at a cash repurchase price equal to the</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principal amount of the notes to be repurchased, plus accrued</w:t>
            </w:r>
          </w:p>
        </w:tc>
      </w:tr>
      <w:tr>
        <w:trPr>
          <w:trHeight w:val="185"/>
        </w:trPr>
        <w:tc>
          <w:tcPr>
            <w:tcW w:w="568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color w:val="auto"/>
              </w:rPr>
              <w:t>and unpaid interest, if any, to, but excluding, the fundamental</w:t>
            </w:r>
          </w:p>
        </w:tc>
      </w:tr>
      <w:tr>
        <w:trPr>
          <w:trHeight w:val="220"/>
        </w:trPr>
        <w:tc>
          <w:tcPr>
            <w:tcW w:w="5680" w:type="dxa"/>
            <w:vAlign w:val="bottom"/>
            <w:tcBorders>
              <w:left w:val="single" w:sz="8" w:color="auto"/>
            </w:tcBorders>
          </w:tcPr>
          <w:p>
            <w:pPr>
              <w:spacing w:after="0"/>
              <w:rPr>
                <w:sz w:val="19"/>
                <w:szCs w:val="19"/>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change repurchase date. See “Description of Notes</w:t>
            </w:r>
            <w:r>
              <w:rPr>
                <w:rFonts w:ascii="Arial" w:cs="Arial" w:eastAsia="Arial" w:hAnsi="Arial"/>
                <w:sz w:val="18"/>
                <w:szCs w:val="18"/>
                <w:i w:val="1"/>
                <w:iCs w:val="1"/>
                <w:color w:val="auto"/>
              </w:rPr>
              <w:t>—</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Fundamental Change Permits Noteholders to Require Us to</w:t>
            </w:r>
          </w:p>
        </w:tc>
      </w:tr>
      <w:tr>
        <w:trPr>
          <w:trHeight w:val="217"/>
        </w:trPr>
        <w:tc>
          <w:tcPr>
            <w:tcW w:w="568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Repurchase Notes.”</w:t>
            </w:r>
          </w:p>
        </w:tc>
      </w:tr>
      <w:tr>
        <w:trPr>
          <w:trHeight w:val="445"/>
        </w:trPr>
        <w:tc>
          <w:tcPr>
            <w:tcW w:w="5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Paying Agent and Conversion Agent</w:t>
            </w: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Wilmington Trust, National Association.</w:t>
            </w:r>
          </w:p>
        </w:tc>
      </w:tr>
      <w:tr>
        <w:trPr>
          <w:trHeight w:val="445"/>
        </w:trPr>
        <w:tc>
          <w:tcPr>
            <w:tcW w:w="5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Concurrent Transactions</w:t>
            </w: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Concurrently with this offering, (i) we are offering</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74,100,000 shares of our common stock (or up to</w:t>
            </w:r>
          </w:p>
        </w:tc>
      </w:tr>
      <w:tr>
        <w:trPr>
          <w:trHeight w:val="203"/>
        </w:trPr>
        <w:tc>
          <w:tcPr>
            <w:tcW w:w="5680" w:type="dxa"/>
            <w:vAlign w:val="bottom"/>
            <w:tcBorders>
              <w:left w:val="single" w:sz="8" w:color="auto"/>
            </w:tcBorders>
          </w:tcPr>
          <w:p>
            <w:pPr>
              <w:spacing w:after="0"/>
              <w:rPr>
                <w:sz w:val="17"/>
                <w:szCs w:val="17"/>
                <w:color w:val="auto"/>
              </w:rPr>
            </w:pPr>
          </w:p>
        </w:tc>
        <w:tc>
          <w:tcPr>
            <w:tcW w:w="53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85,215,000 shares of our common stock if the underwriters in</w:t>
            </w:r>
          </w:p>
        </w:tc>
      </w:tr>
      <w:tr>
        <w:trPr>
          <w:trHeight w:val="217"/>
        </w:trPr>
        <w:tc>
          <w:tcPr>
            <w:tcW w:w="568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Concurrent Common Stock</w:t>
            </w:r>
          </w:p>
        </w:tc>
      </w:tr>
      <w:tr>
        <w:trPr>
          <w:trHeight w:val="226"/>
        </w:trPr>
        <w:tc>
          <w:tcPr>
            <w:tcW w:w="5680" w:type="dxa"/>
            <w:vAlign w:val="bottom"/>
            <w:tcBorders>
              <w:left w:val="single" w:sz="8" w:color="auto"/>
              <w:bottom w:val="single" w:sz="8" w:color="auto"/>
            </w:tcBorders>
          </w:tcPr>
          <w:p>
            <w:pPr>
              <w:spacing w:after="0"/>
              <w:rPr>
                <w:sz w:val="19"/>
                <w:szCs w:val="19"/>
                <w:color w:val="auto"/>
              </w:rPr>
            </w:pPr>
          </w:p>
        </w:tc>
        <w:tc>
          <w:tcPr>
            <w:tcW w:w="5340" w:type="dxa"/>
            <w:vAlign w:val="bottom"/>
            <w:tcBorders>
              <w:bottom w:val="single" w:sz="8" w:color="auto"/>
              <w:right w:val="single" w:sz="8" w:color="auto"/>
            </w:tcBorders>
          </w:tcPr>
          <w:p>
            <w:pPr>
              <w:spacing w:after="0"/>
              <w:rPr>
                <w:sz w:val="19"/>
                <w:szCs w:val="19"/>
                <w:color w:val="auto"/>
              </w:rPr>
            </w:pPr>
          </w:p>
        </w:tc>
      </w:tr>
      <w:tr>
        <w:trPr>
          <w:trHeight w:val="604"/>
        </w:trPr>
        <w:tc>
          <w:tcPr>
            <w:tcW w:w="5680" w:type="dxa"/>
            <w:vAlign w:val="bottom"/>
          </w:tcPr>
          <w:p>
            <w:pPr>
              <w:ind w:left="5360"/>
              <w:spacing w:after="0"/>
              <w:rPr>
                <w:sz w:val="20"/>
                <w:szCs w:val="20"/>
                <w:color w:val="auto"/>
              </w:rPr>
            </w:pPr>
            <w:r>
              <w:rPr>
                <w:rFonts w:ascii="Arial" w:cs="Arial" w:eastAsia="Arial" w:hAnsi="Arial"/>
                <w:sz w:val="18"/>
                <w:szCs w:val="18"/>
                <w:color w:val="auto"/>
              </w:rPr>
              <w:t>S-6</w:t>
            </w:r>
          </w:p>
        </w:tc>
        <w:tc>
          <w:tcPr>
            <w:tcW w:w="5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700" w:type="dxa"/>
            <w:vAlign w:val="bottom"/>
            <w:tcBorders>
              <w:top w:val="single" w:sz="8" w:color="auto"/>
              <w:left w:val="single" w:sz="8" w:color="auto"/>
            </w:tcBorders>
          </w:tcPr>
          <w:p>
            <w:pPr>
              <w:spacing w:after="0"/>
              <w:rPr>
                <w:sz w:val="24"/>
                <w:szCs w:val="24"/>
                <w:color w:val="auto"/>
              </w:rPr>
            </w:pPr>
          </w:p>
        </w:tc>
        <w:tc>
          <w:tcPr>
            <w:tcW w:w="632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Offering exercise their option to purchase additional shares of</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common stock solely to cover over-allotments), (ii) American</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has announced its intention to conduct a private offering of</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$1,500.0 million aggregate principal amount of its senior</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secured notes due 2025 guaranteed by AAG and (iii) American</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has announced its intention to borrow up to $500.0 million in</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aggregate principal amount of term loans under new senior</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secured credit facilities. Neither this offering nor any of the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Concurrent Transactions is conditioned upon the completion of</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any of the other offerings, so it is possible that this offering</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occurs and one or more of the Concurrent Transactions do not</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occur, and vice versa. We cannot assure you that any of the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Concurrent Transactions will be completed on the terms</w:t>
            </w:r>
          </w:p>
        </w:tc>
      </w:tr>
      <w:tr>
        <w:trPr>
          <w:trHeight w:val="217"/>
        </w:trPr>
        <w:tc>
          <w:tcPr>
            <w:tcW w:w="470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described herein, on significantly different terms, or at all.</w:t>
            </w:r>
          </w:p>
        </w:tc>
      </w:tr>
      <w:tr>
        <w:trPr>
          <w:trHeight w:val="445"/>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Public Market</w:t>
            </w: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The notes are a new class of securities for which no public</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market currently exists. We do not intend to apply to list the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notes on any securities exchange or for quotation on any inter-</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dealer quotation system. Accordingly, a liquid market for the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notes may never develop. Certain of the underwriters have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advised us that they intend to make a market in the notes.</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However, they are not obligated to do so and may discontinue</w:t>
            </w:r>
          </w:p>
        </w:tc>
      </w:tr>
      <w:tr>
        <w:trPr>
          <w:trHeight w:val="217"/>
        </w:trPr>
        <w:tc>
          <w:tcPr>
            <w:tcW w:w="470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any market-making activity at any time and without notice.</w:t>
            </w:r>
          </w:p>
        </w:tc>
      </w:tr>
      <w:tr>
        <w:trPr>
          <w:trHeight w:val="431"/>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Global Select Market Exchange Symbol</w:t>
            </w: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Our common stock is listed on The Nasdaq Global Select</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Market under the symbol “AAL.” On June 22, 2020 the last</w:t>
            </w:r>
          </w:p>
        </w:tc>
      </w:tr>
      <w:tr>
        <w:trPr>
          <w:trHeight w:val="217"/>
        </w:trPr>
        <w:tc>
          <w:tcPr>
            <w:tcW w:w="470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reported sale price of our common stock was $14.92 per share.</w:t>
            </w:r>
          </w:p>
        </w:tc>
      </w:tr>
      <w:tr>
        <w:trPr>
          <w:trHeight w:val="431"/>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approximately $969.4 million (or approximately $1,115.0 million</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if the underwriters fully exercise their option to purchase</w:t>
            </w:r>
          </w:p>
        </w:tc>
      </w:tr>
      <w:tr>
        <w:trPr>
          <w:trHeight w:val="202"/>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additional notes), after deducting the underwriters’ discounts</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and commissions and our estimated offering expenses. We</w:t>
            </w:r>
          </w:p>
        </w:tc>
      </w:tr>
      <w:tr>
        <w:trPr>
          <w:trHeight w:val="203"/>
        </w:trPr>
        <w:tc>
          <w:tcPr>
            <w:tcW w:w="4700" w:type="dxa"/>
            <w:vAlign w:val="bottom"/>
            <w:tcBorders>
              <w:left w:val="single" w:sz="8" w:color="auto"/>
            </w:tcBorders>
          </w:tcPr>
          <w:p>
            <w:pPr>
              <w:spacing w:after="0"/>
              <w:rPr>
                <w:sz w:val="17"/>
                <w:szCs w:val="17"/>
                <w:color w:val="auto"/>
              </w:rPr>
            </w:pPr>
          </w:p>
        </w:tc>
        <w:tc>
          <w:tcPr>
            <w:tcW w:w="6320" w:type="dxa"/>
            <w:vAlign w:val="bottom"/>
            <w:tcBorders>
              <w:right w:val="single" w:sz="8" w:color="auto"/>
            </w:tcBorders>
          </w:tcPr>
          <w:p>
            <w:pPr>
              <w:ind w:left="1000"/>
              <w:spacing w:after="0" w:line="202" w:lineRule="exact"/>
              <w:rPr>
                <w:sz w:val="20"/>
                <w:szCs w:val="20"/>
                <w:color w:val="auto"/>
              </w:rPr>
            </w:pPr>
            <w:r>
              <w:rPr>
                <w:rFonts w:ascii="Arial" w:cs="Arial" w:eastAsia="Arial" w:hAnsi="Arial"/>
                <w:sz w:val="18"/>
                <w:szCs w:val="18"/>
                <w:color w:val="auto"/>
              </w:rPr>
              <w:t>intend to use the net proceeds for general corporate purposes</w:t>
            </w:r>
          </w:p>
        </w:tc>
      </w:tr>
      <w:tr>
        <w:trPr>
          <w:trHeight w:val="217"/>
        </w:trPr>
        <w:tc>
          <w:tcPr>
            <w:tcW w:w="4700" w:type="dxa"/>
            <w:vAlign w:val="bottom"/>
            <w:tcBorders>
              <w:left w:val="single" w:sz="8" w:color="auto"/>
            </w:tcBorders>
          </w:tcPr>
          <w:p>
            <w:pPr>
              <w:spacing w:after="0"/>
              <w:rPr>
                <w:sz w:val="18"/>
                <w:szCs w:val="18"/>
                <w:color w:val="auto"/>
              </w:rPr>
            </w:pP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to enhance our liquidity position.</w:t>
            </w:r>
          </w:p>
        </w:tc>
      </w:tr>
      <w:tr>
        <w:trPr>
          <w:trHeight w:val="445"/>
        </w:trPr>
        <w:tc>
          <w:tcPr>
            <w:tcW w:w="47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3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Investing in the notes involves risks. See “Risk Factors.”</w:t>
            </w:r>
          </w:p>
        </w:tc>
      </w:tr>
      <w:tr>
        <w:trPr>
          <w:trHeight w:val="240"/>
        </w:trPr>
        <w:tc>
          <w:tcPr>
            <w:tcW w:w="4700" w:type="dxa"/>
            <w:vAlign w:val="bottom"/>
            <w:tcBorders>
              <w:left w:val="single" w:sz="8" w:color="auto"/>
              <w:bottom w:val="single" w:sz="8" w:color="auto"/>
            </w:tcBorders>
          </w:tcPr>
          <w:p>
            <w:pPr>
              <w:spacing w:after="0"/>
              <w:rPr>
                <w:sz w:val="20"/>
                <w:szCs w:val="20"/>
                <w:color w:val="auto"/>
              </w:rPr>
            </w:pPr>
          </w:p>
        </w:tc>
        <w:tc>
          <w:tcPr>
            <w:tcW w:w="6320" w:type="dxa"/>
            <w:vAlign w:val="bottom"/>
            <w:tcBorders>
              <w:bottom w:val="single" w:sz="8" w:color="auto"/>
              <w:right w:val="single" w:sz="8" w:color="auto"/>
            </w:tcBorders>
          </w:tcPr>
          <w:p>
            <w:pPr>
              <w:spacing w:after="0"/>
              <w:rPr>
                <w:sz w:val="20"/>
                <w:szCs w:val="20"/>
                <w:color w:val="auto"/>
              </w:rPr>
            </w:pPr>
          </w:p>
        </w:tc>
      </w:tr>
      <w:tr>
        <w:trPr>
          <w:trHeight w:val="604"/>
        </w:trPr>
        <w:tc>
          <w:tcPr>
            <w:tcW w:w="4700" w:type="dxa"/>
            <w:vAlign w:val="bottom"/>
          </w:tcPr>
          <w:p>
            <w:pPr>
              <w:spacing w:after="0"/>
              <w:rPr>
                <w:sz w:val="24"/>
                <w:szCs w:val="24"/>
                <w:color w:val="auto"/>
              </w:rPr>
            </w:pPr>
          </w:p>
        </w:tc>
        <w:tc>
          <w:tcPr>
            <w:tcW w:w="6320" w:type="dxa"/>
            <w:vAlign w:val="bottom"/>
          </w:tcPr>
          <w:p>
            <w:pPr>
              <w:ind w:left="66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50469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Certain U.S. Federal Income Tax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 description of certain U.S. federal income tax considerations of purchasing, owning and disposing of the notes and owning and disposing of shares of our common stock, if any, issuable upon the conversion of the notes, see “Certain U.S. Federal Income Tax Considerations.”</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Book-Entry Form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will initially issue the notes in the form of one or more global notes registered in the name of Cede &amp; Co., as nominee of The Depository Trust Company (“DTC”), without interest coupons, which we will deposit with the trustee as custodian for DTC. Beneficial interests in global notes will be shown on, and transfers of global notes will be effected only through, the records maintained by DTC. Except in limited circumstances, we will not issue certificated notes. See “Description of Notes— Book Entry, Settlement and Clearance.”</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7" w:lineRule="exact"/>
        <w:rPr>
          <w:sz w:val="20"/>
          <w:szCs w:val="20"/>
          <w:color w:val="auto"/>
        </w:rPr>
      </w:pPr>
    </w:p>
    <w:p>
      <w:pPr>
        <w:ind w:left="300" w:right="40" w:firstLine="532"/>
        <w:spacing w:after="0" w:line="246" w:lineRule="auto"/>
        <w:rPr>
          <w:sz w:val="20"/>
          <w:szCs w:val="20"/>
          <w:color w:val="auto"/>
        </w:rPr>
      </w:pPr>
      <w:r>
        <w:rPr>
          <w:rFonts w:ascii="Arial" w:cs="Arial" w:eastAsia="Arial" w:hAnsi="Arial"/>
          <w:sz w:val="18"/>
          <w:szCs w:val="18"/>
          <w:color w:val="auto"/>
        </w:rPr>
        <w:t>We expect that 496,994,501 shares of our common stock will be outstanding immediately after this offering and the Concurrent Common Stock Offering, based on 422,894,501 shares outstanding as of April 24, 2020, excluding:</w:t>
      </w:r>
    </w:p>
    <w:p>
      <w:pPr>
        <w:spacing w:after="0" w:line="102" w:lineRule="exact"/>
        <w:rPr>
          <w:sz w:val="20"/>
          <w:szCs w:val="20"/>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8,935,105 shares of common stock issuable upon the exercise of outstanding restricted stock units, as of March 31, 2020;</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13,703,876 shares underlying the warrants issuable in connection with the PSP Agreement (as defined herein);</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25,633,346 shares available for issuance under our 2013 Equity Incentive Plan, as of March 31, 2020; and</w:t>
      </w:r>
    </w:p>
    <w:p>
      <w:pPr>
        <w:spacing w:after="0" w:line="117" w:lineRule="exact"/>
        <w:rPr>
          <w:rFonts w:ascii="Arial" w:cs="Arial" w:eastAsia="Arial" w:hAnsi="Arial"/>
          <w:sz w:val="18"/>
          <w:szCs w:val="18"/>
          <w:color w:val="auto"/>
        </w:rPr>
      </w:pPr>
    </w:p>
    <w:p>
      <w:pPr>
        <w:ind w:left="1020" w:right="260" w:hanging="195"/>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to be reserved for issuance upon the conversion of the convertible notes being offered in this offering.</w:t>
      </w:r>
    </w:p>
    <w:p>
      <w:pPr>
        <w:spacing w:after="0" w:line="197" w:lineRule="exact"/>
        <w:rPr>
          <w:sz w:val="20"/>
          <w:szCs w:val="20"/>
          <w:color w:val="auto"/>
        </w:rPr>
      </w:pPr>
    </w:p>
    <w:p>
      <w:pPr>
        <w:jc w:val="both"/>
        <w:ind w:left="300" w:right="400" w:firstLine="532"/>
        <w:spacing w:after="0"/>
        <w:rPr>
          <w:sz w:val="20"/>
          <w:szCs w:val="20"/>
          <w:color w:val="auto"/>
        </w:rPr>
      </w:pPr>
      <w:r>
        <w:rPr>
          <w:rFonts w:ascii="Arial" w:cs="Arial" w:eastAsia="Arial" w:hAnsi="Arial"/>
          <w:sz w:val="18"/>
          <w:szCs w:val="18"/>
          <w:color w:val="auto"/>
        </w:rPr>
        <w:t>See also “Summary—Recent Developments—CARES Act” for information regarding additional warrants for approximately 38 million shares of our common stock that we expect to provide the Treasury in connection with the approximately $4.75 billion secured loan we are in the process of obtaining pursuant to the CARES Act.</w:t>
      </w:r>
    </w:p>
    <w:p>
      <w:pPr>
        <w:spacing w:after="0" w:line="203"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Unless otherwise indicated, all information in this prospectus supplement assumes the underwriters do not exercise their option to purchase additional shares of our common stock in the Concurrent Common Stock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INFORMATION AND OPERATING DATA</w:t>
      </w:r>
    </w:p>
    <w:p>
      <w:pPr>
        <w:spacing w:after="0" w:line="234" w:lineRule="exact"/>
        <w:rPr>
          <w:sz w:val="20"/>
          <w:szCs w:val="20"/>
          <w:color w:val="auto"/>
        </w:rPr>
      </w:pPr>
    </w:p>
    <w:p>
      <w:pPr>
        <w:ind w:left="300" w:right="340" w:firstLine="532"/>
        <w:spacing w:after="0" w:line="237" w:lineRule="auto"/>
        <w:rPr>
          <w:sz w:val="20"/>
          <w:szCs w:val="20"/>
          <w:color w:val="auto"/>
        </w:rPr>
      </w:pPr>
      <w:r>
        <w:rPr>
          <w:rFonts w:ascii="Arial" w:cs="Arial" w:eastAsia="Arial" w:hAnsi="Arial"/>
          <w:sz w:val="18"/>
          <w:szCs w:val="18"/>
          <w:color w:val="auto"/>
        </w:rPr>
        <w:t>The summary consolidated financial information as of December 31, 2019 and for the years ended December 31, 2019, 2018 and 2017 presented below is derived from our audited consolidated financial statements for such periods appearing in our Annual Report on Form 10-K for the year ended December 31, 2019, which is incorporated by reference into this prospectus supplement. The summary consolidated financial information as of March 31, 2020 and for the three months ended March 31, 2020 and 2019 presented below is derived from our unaudited condensed consolidated financial statements for such periods appearing in our Quarterly Report on Form 10-Q for the three-month period ended March 31, 2020, which is incorporated by reference into this prospectus supplement.</w:t>
      </w:r>
    </w:p>
    <w:p>
      <w:pPr>
        <w:spacing w:after="0" w:line="203" w:lineRule="exact"/>
        <w:rPr>
          <w:sz w:val="20"/>
          <w:szCs w:val="20"/>
          <w:color w:val="auto"/>
        </w:rPr>
      </w:pPr>
    </w:p>
    <w:p>
      <w:pPr>
        <w:ind w:left="300" w:right="200" w:firstLine="532"/>
        <w:spacing w:after="0" w:line="237" w:lineRule="auto"/>
        <w:rPr>
          <w:sz w:val="20"/>
          <w:szCs w:val="20"/>
          <w:color w:val="auto"/>
        </w:rPr>
      </w:pPr>
      <w:r>
        <w:rPr>
          <w:rFonts w:ascii="Arial" w:cs="Arial" w:eastAsia="Arial" w:hAnsi="Arial"/>
          <w:sz w:val="18"/>
          <w:szCs w:val="18"/>
          <w:color w:val="auto"/>
        </w:rPr>
        <w:t>We adopted three new accounting standards as of January 1, 2018: Accounting Standards Update (“ASU”) 2016-02: Leases (Topic 842) (the “New Lease Standard”), ASU 2014-09: Revenue from Contracts with Customers (the “New Revenue Standard”) and ASU 2017-07: Compensation—Retirement Benefits (the “New Retirement Standard”). The 2017 financial information presented below has been recast to reflect the impact of the adoption of the New Revenue Standard and the New Retirement Standard. The New Lease Standard did not require the recast of prior periods. See Note 1(b) to AAG’s Consolidated Financial Statements in Part II, Item 8A of AAG’s Annual Report on Form 10-K for the year ended December 31, 2018, which is not incorporated by reference into this prospectus supplement, for further information on the impacts of these new accounting standards.</w:t>
      </w:r>
    </w:p>
    <w:p>
      <w:pPr>
        <w:spacing w:after="0" w:line="203" w:lineRule="exact"/>
        <w:rPr>
          <w:sz w:val="20"/>
          <w:szCs w:val="20"/>
          <w:color w:val="auto"/>
        </w:rPr>
      </w:pPr>
    </w:p>
    <w:p>
      <w:pPr>
        <w:ind w:left="300" w:right="240" w:firstLine="532"/>
        <w:spacing w:after="0" w:line="236" w:lineRule="auto"/>
        <w:rPr>
          <w:sz w:val="20"/>
          <w:szCs w:val="20"/>
          <w:color w:val="auto"/>
        </w:rPr>
      </w:pPr>
      <w:r>
        <w:rPr>
          <w:rFonts w:ascii="Arial" w:cs="Arial" w:eastAsia="Arial" w:hAnsi="Arial"/>
          <w:sz w:val="18"/>
          <w:szCs w:val="18"/>
          <w:color w:val="auto"/>
        </w:rPr>
        <w:t>Our historical financial information is not necessarily indicative of our future performance. You should read the information set forth below in conjunction with: (i) the section appearing under the heading “Capitalization,” which is included elsewhere in this prospectus supplement, (ii) Part II, Item 7—Management’s Discussion and Analysis of Financial Condition and Results of Operations, which appears in our Annual Report on Form 10-K for the year ended December 31, 2019, which is incorporated by reference into this prospectus supplement and (iii) Part I, Item 2—Management’s Discussion and Analysis of Financial Condition and Results of Operations and Part II, Item 1A—Risk Factors and the financial statements and notes to those financial statements, which appear in our Quarterly Report on Form 10-Q for the three months ended March 31, 2020, which is incorporated by reference into this prospectus supplement.</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1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11"/>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1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Total operating revenues</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8,515</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10,584</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45,768</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44,541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42,622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11,064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10,209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42,703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41,885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38,391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nonoperating expense, net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(836)</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tax provision (benefit)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S-9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1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41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660" w:type="dxa"/>
            <w:vAlign w:val="bottom"/>
            <w:gridSpan w:val="6"/>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 (at end of period):</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3,576</w:t>
            </w:r>
          </w:p>
        </w:tc>
        <w:tc>
          <w:tcPr>
            <w:tcW w:w="7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3,826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58,580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59,995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Debt and finance leases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25,082</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24,315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Pension and postretirement obligations(1)</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6,137</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8,991</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9,129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Stockholders’ deficit</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476"/>
              <w:spacing w:after="0" w:line="202" w:lineRule="exact"/>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w:t>
            </w:r>
          </w:p>
        </w:tc>
      </w:tr>
      <w:tr>
        <w:trPr>
          <w:trHeight w:val="392"/>
        </w:trPr>
        <w:tc>
          <w:tcPr>
            <w:tcW w:w="6180" w:type="dxa"/>
            <w:vAlign w:val="bottom"/>
          </w:tcPr>
          <w:p>
            <w:pPr>
              <w:spacing w:after="0"/>
              <w:rPr>
                <w:sz w:val="24"/>
                <w:szCs w:val="2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6180" w:type="dxa"/>
            <w:vAlign w:val="bottom"/>
          </w:tcPr>
          <w:p>
            <w:pPr>
              <w:spacing w:after="0"/>
              <w:rPr>
                <w:sz w:val="15"/>
                <w:szCs w:val="15"/>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Ended March 31,</w:t>
            </w:r>
          </w:p>
        </w:tc>
        <w:tc>
          <w:tcPr>
            <w:tcW w:w="460" w:type="dxa"/>
            <w:vAlign w:val="bottom"/>
          </w:tcPr>
          <w:p>
            <w:pPr>
              <w:spacing w:after="0"/>
              <w:rPr>
                <w:sz w:val="15"/>
                <w:szCs w:val="15"/>
                <w:color w:val="auto"/>
              </w:rPr>
            </w:pPr>
          </w:p>
        </w:tc>
        <w:tc>
          <w:tcPr>
            <w:tcW w:w="236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6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statistics:</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Revenue passenger miles (millions)(2)</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45,171</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54,802</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241,252</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231,160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226,346</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Available seat miles (millions)(3)</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62,099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66,674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285,088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282,054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276,493</w:t>
            </w: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Passenger load factor (percent)(4)</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81.9</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Yield (cents)(5)</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Passenger revenue per ASM (cents)(6)</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14.49</w:t>
            </w: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14.15</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 per available seat mile (cents)(7)</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7"/>
                <w:szCs w:val="17"/>
                <w:color w:val="auto"/>
              </w:rPr>
            </w:pPr>
          </w:p>
        </w:tc>
      </w:tr>
      <w:tr>
        <w:trPr>
          <w:trHeight w:val="217"/>
        </w:trPr>
        <w:tc>
          <w:tcPr>
            <w:tcW w:w="6180" w:type="dxa"/>
            <w:vAlign w:val="bottom"/>
          </w:tcPr>
          <w:p>
            <w:pPr>
              <w:ind w:left="360"/>
              <w:spacing w:after="0"/>
              <w:rPr>
                <w:sz w:val="20"/>
                <w:szCs w:val="20"/>
                <w:color w:val="auto"/>
              </w:rPr>
            </w:pPr>
            <w:r>
              <w:rPr>
                <w:rFonts w:ascii="Arial" w:cs="Arial" w:eastAsia="Arial" w:hAnsi="Arial"/>
                <w:sz w:val="18"/>
                <w:szCs w:val="18"/>
                <w:color w:val="auto"/>
              </w:rPr>
              <w:t>Operating cost per ASM (cents)(8)</w:t>
            </w:r>
          </w:p>
        </w:tc>
        <w:tc>
          <w:tcPr>
            <w:tcW w:w="660" w:type="dxa"/>
            <w:vAlign w:val="bottom"/>
          </w:tcPr>
          <w:p>
            <w:pPr>
              <w:jc w:val="right"/>
              <w:spacing w:after="0"/>
              <w:rPr>
                <w:sz w:val="20"/>
                <w:szCs w:val="20"/>
                <w:color w:val="auto"/>
              </w:rPr>
            </w:pPr>
            <w:r>
              <w:rPr>
                <w:rFonts w:ascii="Arial" w:cs="Arial" w:eastAsia="Arial" w:hAnsi="Arial"/>
                <w:sz w:val="18"/>
                <w:szCs w:val="18"/>
                <w:color w:val="auto"/>
              </w:rPr>
              <w:t>17.82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8"/>
                <w:szCs w:val="18"/>
                <w:color w:val="auto"/>
              </w:rPr>
            </w:pPr>
          </w:p>
        </w:tc>
      </w:tr>
    </w:tbl>
    <w:p>
      <w:pPr>
        <w:spacing w:after="0" w:line="174" w:lineRule="exact"/>
        <w:rPr>
          <w:sz w:val="20"/>
          <w:szCs w:val="20"/>
          <w:color w:val="auto"/>
        </w:rPr>
      </w:pPr>
    </w:p>
    <w:p>
      <w:pPr>
        <w:ind w:left="820" w:right="28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all defined benefit pension plans were frozen effective November 1, 2012. See Note 10 to AAG’s Consolidated Financial Statements in Part II, Item 8A in AAG’s Annual Report on Form 10-K for the year ended December 31, 2019 for further information on pension and postretirement benefits.</w:t>
      </w:r>
    </w:p>
    <w:p>
      <w:pPr>
        <w:spacing w:after="0" w:line="2" w:lineRule="exact"/>
        <w:rPr>
          <w:rFonts w:ascii="Arial" w:cs="Arial" w:eastAsia="Arial" w:hAnsi="Arial"/>
          <w:sz w:val="18"/>
          <w:szCs w:val="18"/>
          <w:color w:val="auto"/>
        </w:rPr>
      </w:pP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passenger mile (RPM)—A basic measure of sales volume. One RPM represents one passenger flown one mile.</w:t>
      </w: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Available seat mile (ASM)—A basic measure of production. One ASM represents one seat flown one mile.</w:t>
      </w: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Passenger load factor—The percentage of available seats that are filled with revenue passengers.</w:t>
      </w: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Yield—A measure of airline revenue derived by dividing passenger revenue by RPMs.</w:t>
      </w: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Passenger revenue per available seat mile (PRASM)—Passenger revenue divided by ASMs.</w:t>
      </w:r>
    </w:p>
    <w:p>
      <w:pPr>
        <w:ind w:left="820" w:hanging="522"/>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per available seat mile (TRASM)—Total revenues divided by ASMs.</w:t>
      </w:r>
    </w:p>
    <w:p>
      <w:pPr>
        <w:ind w:left="820" w:hanging="52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cost per available seat mile (CASM)—Operating expenses divided by ASMs.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An investment in the notes involves certain risks. You should carefully consider the risks described below and those discussed under Part II, Item 1A—Risk Factors in our Quarterly Report on Form 10-Q for the quarterly period ended March 31, 2020, as well as the other information included or incorporated by reference in this prospectus supplement, before making an investment decision. Our business, financial condition or results of operations could be materially adversely affected by any of these risks. The market or trading price of our notes could decline due to any of these risks, and you may lose all or part of your investment. In addition, please read “Special Note About Forward-Looking Statements” in this prospectus supplement, where we describe additional uncertainties associated with our business and the forward-looking statements included or incorporated by reference in this prospectus supplement. Please note that additional risks not presently known to us or that we currently deem immaterial may also impair our business, financial condition or results of operations. To the extent COVID-19 adversely affects our business, operations, financial condition and operating results, it may also have the effect of heightening many of the other risks described in this “Risk Factors” section and those described in our reports incorporated by reference herein, such as those relating to our high level of indebtedness, our need to generate sufficient cash flows to service our indebtedness, and our ability to comply with the covenants contained in the agreements that govern our indebtedness.</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Recent Developments in our Business</w:t>
      </w:r>
    </w:p>
    <w:p>
      <w:pPr>
        <w:spacing w:after="0" w:line="2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8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determined to retire certain mainline aircraft earlier than planned including Boeing 757, Boeing 767, Airbus A330-300 and Embraer 190 aircraft as well as regional aircraft, including certain Embraer 140 and Bombardier CRJ200 aircraft, which we expect will allow us to be more efficient by reducing the number of sub-fleets we operate, and we have also placed a significant number of aircraft, including our A330-200 fleet and a number of Boeing 737-800 aircraft, into temporary storage. We have moved quickly to attempt to better align our costs with our reduced schedule and made other cost-saving initiatives (including reductions in maintenance expense, marketing expense, event and training expenses, airport facilities expense, salaries and benefits expense, and other volume-related expense reductions, including fuel). Nonetheless, we incurred significant negative cash flow in the first quarter of 2020, we continue to do so, and we expect to continue to do so until there is a significant recovery in demand for air travel. The duration and severity of the COVID-19 pandemic remain uncertain, and there can be no assurance that these actions will suffice to sustain our business and operations through this pandemic. We expect our results of operations for fiscal 2020 to be materially impacted.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We have been approved to receive approximately $5.8 billion from the Treasury through the Payroll Support Program under the CARES Act, of which $ 4.1 billion has been received as of June 1, 2020. In connection with the financial assistance we have received and expect to receive under the Payroll Support Program, we will be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We also applied for a secured loan in the amount of approximately $4.75 billion through the loan program under the CARES Act and are in the process of obtaining such secured loan, the timing and terms of which remain subject to ongoing negotiation, entry by the parties into definitive documentation and certain closing conditions. If we receive a secured loan from the Treasury under the loan program, the stock repurchase, dividend and executive compensation restrictions will remain in place through the date that is one year after such secured loan is fully repaid. The substance and duration of these restrictions may materially affect our operations, and we may not be successful in managing these impacts.</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intend to pursue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we are not currently subject. The measures we have taken to reduce our expenditures and to improve our liquidity, and any other strategic actions that we may take in the future in response to COVID-19 may not be effective in offsetting decreased demand, and we will not be permitted to take certain strategic actions, such as prescribed levels of furloughs and lay-offs or reductions in capacity as a result of the restrictions imposed by the CARES Act, which could result in a material adverse effect on our business, operating results and financial condition.</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our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any requirement for passengers to wear face coverings while traveling or have their temperature checked or have administered other tests or examinations prior to entering an airport or boarding an airplane, or which would limit the number of seats that can be occupied on an aircraft to allow for social distancing, if our employees are unable to work because they are quarantined or sickened as a result of exposure to COVID-19, or if they are subject to additional governmental COVID-19 curfews or “shelter in place” health orders or similar restrictions, the impact of COVID-19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“teleconferencing” products and more broadly a general reluctance to travel by consumers, each of which could have a material impact on our business.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pre-pandemic levels, if at all. Accordingly, we cannot predict the ultimate impact of COVID-19 on our business, financial condition and results of operations. See also “Risk Factors—The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and “Risk Factors—The airline industry is intensely competitive and dynamic.”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March 31, 2020, our planned aggregate expenditures for aircraft purchase commitments and certain engines on a consolidated basis for calendar years 2020-2024 would be approximately $8.4 billion. We may also require financing to refinance maturing obligations and to provide liquidity to fund other corporate requirements, in particular given the severe decline in revenue we have experienced as a result of COVID-19.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COVID-19; our non-investment grade credit rating; market conditions; the availability of assets to use as collateral for loans or other indebtedness, which has been reduced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9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Among other things, the CARES Act imposes significant restrictions on executive compensation which, assuming we receive a secured loan from the Treasury, will remain in place through the date that is one year after such secured loan is fully repaid. Such restrictions, over time, will likely result in lower executive compensation in the airline industry than is prevailing in other industries which may present retention challenges in the case of executives presented with alternative, non-airline opportunities. Any inability to retain or attract significant numbers of qualified management and other personnel would have a material adverse effect on our business, results of operations and financial condition.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structures intended to achieve near-term survival rather than long-term viability.</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20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“Risk Factors—Our business is subject to extensive government regulation, which may result in increases in our costs, disruptions to our operations, limits on our operating flexibility, reductions in the demand for air travel, and competitive disadvantages.”</w:t>
      </w:r>
    </w:p>
    <w:p>
      <w:pPr>
        <w:spacing w:after="0" w:line="208"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205"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American has established a transatlantic joint business agreement (the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Department of Transportation (the “DOT”) and was reviewed by the European Commission (the “EC”) in July 2010. In connection with this review, we provided certain commitments to the EC regarding, among other things, the availability of take-off and landing slots at London Heathrow (“LHR”) or London Gatwick</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(“LGW”) airports. The commitments accepted by the EC are binding for 10 years. In October 2018, in anticipation of the exit of the United Kingdom from the European Union (the “EU”), commonly referred to as “Brexit”, and the expiry of the EC commitments in July 2020, the United Kingdom Competition and Markets Authority (the “CMA”) opened an investigation into the transatlantic JBA. We continue to fully cooperate with the CMA and in May 2020, the CMA published a notice of intention to accept certain commitments related to the transatlantic JBA offered by the carriers and invited representations from interested third parties.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20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8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8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02" w:lineRule="exact"/>
        <w:rPr>
          <w:sz w:val="20"/>
          <w:szCs w:val="20"/>
          <w:color w:val="auto"/>
        </w:rPr>
      </w:pPr>
    </w:p>
    <w:p>
      <w:pPr>
        <w:ind w:left="880" w:right="240" w:hanging="224"/>
        <w:spacing w:after="0" w:line="246"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potential disruptions to the United States National Airspace System (the “ATC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“Risk Factors—The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9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Accordingly, as of March 31, 2020, we did not have any fuel hedging contracts outstanding to hedge our fuel consumption. As such, and assuming we do not enter into any future transactions to hedge our fuel consumption, we will continue to be fully exposed to fluctuations in fuel prices and, while the price of fuel has been at historically low levels during the COVID-19 pandemic, there is no assurance that it will remain so and any increase in fuel prices, coupled with the severe reduction in demand we are experiencing, during the COVID-19 pandemic will materially affect our business in an adverse manner. See also the discussion in Part I, Item 3. Quantitative and Qualitative Disclosures About Market Risk—Aircraft Fuel in our Quarterly Report on Form 10-Q for the quarter ended March 31, 2020.</w:t>
      </w:r>
    </w:p>
    <w:p>
      <w:pPr>
        <w:spacing w:after="0" w:line="290"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6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Relations between air carriers and labor unions in the U.S. are governed by the Railway Labor Act (the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(the “NMB”). For the dates that the CBAs with our major work groups become amendable under the RLA, see Part I, Item 1. Business—“Employees and Labor Relations” in our Annual Report on Form 10-K for the year ended December 31, 2019.</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Business—“Employees and Labor Relations” in our Annual Report on Form 10-K for the year ended December 31, 2019.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of December 31, 2019,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88"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(the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could have a material adverse effect on the public’s perception of us, which could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COVID-19 will be sufficient to restore the confidence of consumers in the safety of air travel.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8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131,000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9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Federal Aviation Administration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hereof),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20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205"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02" w:lineRule="exact"/>
        <w:rPr>
          <w:sz w:val="20"/>
          <w:szCs w:val="20"/>
          <w:color w:val="auto"/>
        </w:rPr>
      </w:pPr>
    </w:p>
    <w:p>
      <w:pPr>
        <w:ind w:left="880" w:right="8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02"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17"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w:t>
      </w:r>
    </w:p>
    <w:p>
      <w:pPr>
        <w:spacing w:after="0" w:line="21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207"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in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 timely manner and the substantial costs that may be imposed on airlines, including ourselves, in order to fund a modernized ATC system may have a material adverse effect on our business.</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202"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21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8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has severely impacted the demand for international travel and has resulted in the imposition of significant governmental restrictions on commercial air service to or from certain regions. We have responded by suspending a significant majority of our international flights through at least June 2020 and delaying the introduction of certain new international routes. We can provide no assurance as to when such restrictions will be eased or lifted, when demand for international travel will return to pre-pandemic levels, if at all, or whether certain international destinations we previously served will be economical in the future.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03" w:lineRule="exact"/>
        <w:rPr>
          <w:sz w:val="20"/>
          <w:szCs w:val="20"/>
          <w:color w:val="auto"/>
        </w:rPr>
      </w:pPr>
    </w:p>
    <w:p>
      <w:pPr>
        <w:jc w:val="both"/>
        <w:ind w:left="120" w:right="140" w:firstLine="551"/>
        <w:spacing w:after="0" w:line="248" w:lineRule="auto"/>
        <w:rPr>
          <w:sz w:val="20"/>
          <w:szCs w:val="20"/>
          <w:color w:val="auto"/>
        </w:rPr>
      </w:pPr>
      <w:r>
        <w:rPr>
          <w:rFonts w:ascii="Arial" w:cs="Arial" w:eastAsia="Arial" w:hAnsi="Arial"/>
          <w:sz w:val="17"/>
          <w:szCs w:val="17"/>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w:t>
      </w:r>
    </w:p>
    <w:p>
      <w:pPr>
        <w:spacing w:after="0" w:line="2"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(the “USTR”), as part of an ongoing dispute with the EU before the World Trade Organization (the “WTO”) concerning, among other things, aircraft subsidies, was authorized by an arbitration tribunal of the WTO to impose up to</w:t>
      </w:r>
    </w:p>
    <w:p>
      <w:pPr>
        <w:spacing w:after="0" w:line="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204"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and in May 2020, the CMA published a notice of intention to accept certain commitments related to the transatlantic JBA offered by the carriers and invited representations from interested third parties.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9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68"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9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CO2 emissions and the potential increased impacts of severe weather events on our operations and infrastructure.</w:t>
      </w:r>
    </w:p>
    <w:p>
      <w:pPr>
        <w:spacing w:after="0" w:line="68"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There is increasing global regulatory focus on climate change and greenhouse gas (“GHG”) emissions, including carbon dioxide (CO2). In particular, the International Civil Aviation Organization is in the process of adopting rules, including the Carbon Offsetting and Reduction Scheme for International Aviation (“CORSIA”), that will require American to limit the CO2 emissions of a significant majority of our international flights to a baseline level equal to our 2019-2020 average emissions from such flights.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airlines to reduce their emissions of CO2.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203"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to regulate domestic GHG emissions. Finally, certain airports have adopted, and others could in the future adopt, GHG emission or climate-neutral goals that could impact our operations or require us to make changes or investments in our infrastructure.</w:t>
      </w:r>
    </w:p>
    <w:p>
      <w:pPr>
        <w:spacing w:after="0" w:line="20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modernize certain aspects of our operations, purchase carbon offset credits, or otherwise incur additional costs related to our emissions. Such activity may also impact us indirectly by increasing our operating costs, including fuel costs.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Finally, the potential physical effects of climate change, such as increased frequency and severity of storms, floods, fires, sea-level rise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accurately predict the materiality of any potential losses or costs associated with the physical effects of climate change.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the pending transactions involving Boeing and Embraer, and Bombardier and Mitsubishi. Due to the limited number of these suppliers, we are vulnerable to any problems associated with the performance of their obligation to supply key aircraft,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hereof.</w:t>
      </w:r>
    </w:p>
    <w:p>
      <w:pPr>
        <w:spacing w:after="0" w:line="291"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 and financing commitments we previously obtained may be terminated and, as a result, we may be required to obtain alternate financing and financing commitments for these aircraft, which may not be available on terms and conditions as favorable as the previously obtained financings and financing commitments. Further, once the grounding has been lifted, we are likely to be subject to training requirements. Boeing has recommended that pilots receive special flight simulator training before operating the Boeing 737 MAX aircraft, and although the FAA is ultimately responsible for establishing training requirements for operating the Boeing 737 MAX,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 In addition, the timing of the 737 MAX’s recertification and return to service, and the resumption of deliveries, could be significantly impacted by the COVID-19 pandemic.</w:t>
      </w:r>
    </w:p>
    <w:p>
      <w:pPr>
        <w:spacing w:after="0" w:line="298"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8"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20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26" w:lineRule="exact"/>
        <w:rPr>
          <w:sz w:val="20"/>
          <w:szCs w:val="20"/>
          <w:color w:val="auto"/>
        </w:rPr>
      </w:pPr>
    </w:p>
    <w:p>
      <w:pPr>
        <w:ind w:left="120" w:right="80" w:firstLine="551"/>
        <w:spacing w:after="0" w:line="252" w:lineRule="auto"/>
        <w:rPr>
          <w:sz w:val="20"/>
          <w:szCs w:val="20"/>
          <w:color w:val="auto"/>
        </w:rPr>
      </w:pPr>
      <w:r>
        <w:rPr>
          <w:rFonts w:ascii="Arial" w:cs="Arial" w:eastAsia="Arial" w:hAnsi="Arial"/>
          <w:sz w:val="17"/>
          <w:szCs w:val="17"/>
          <w:color w:val="auto"/>
        </w:rPr>
        <w:t>While we have to date successfully integrated many of our computer, communication and other technology systems in connection with the merger of US Airways, Inc.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94"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91"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8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8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 these issues could result in material financial and other liabilities and cause significant reputational harm to our company.</w:t>
      </w:r>
    </w:p>
    <w:p>
      <w:pPr>
        <w:spacing w:after="0" w:line="29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68"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prospectus supplement,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significant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9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26" w:lineRule="exact"/>
        <w:rPr>
          <w:sz w:val="20"/>
          <w:szCs w:val="20"/>
          <w:color w:val="auto"/>
        </w:rPr>
      </w:pPr>
    </w:p>
    <w:p>
      <w:pPr>
        <w:ind w:left="120" w:right="500" w:firstLine="551"/>
        <w:spacing w:after="0" w:line="238"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89" w:lineRule="exact"/>
        <w:rPr>
          <w:sz w:val="20"/>
          <w:szCs w:val="20"/>
          <w:color w:val="auto"/>
        </w:rPr>
      </w:pPr>
    </w:p>
    <w:p>
      <w:pPr>
        <w:jc w:val="both"/>
        <w:ind w:left="120" w:right="500"/>
        <w:spacing w:after="0" w:line="253"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8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202"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208"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regarding the allocation of slots, the continued enforcement of a perimeter rule or similar regulatory authority will not have a material adverse impact on our operations.</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203" w:lineRule="exact"/>
        <w:rPr>
          <w:sz w:val="20"/>
          <w:szCs w:val="20"/>
          <w:color w:val="auto"/>
        </w:rPr>
      </w:pPr>
    </w:p>
    <w:p>
      <w:pPr>
        <w:ind w:left="120" w:firstLine="551"/>
        <w:spacing w:after="0" w:line="274" w:lineRule="auto"/>
        <w:rPr>
          <w:sz w:val="20"/>
          <w:szCs w:val="20"/>
          <w:color w:val="auto"/>
        </w:rPr>
      </w:pPr>
      <w:r>
        <w:rPr>
          <w:rFonts w:ascii="Arial" w:cs="Arial" w:eastAsia="Arial" w:hAnsi="Arial"/>
          <w:sz w:val="17"/>
          <w:szCs w:val="17"/>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91"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8"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93"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6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89"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8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02"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7"/>
          <w:szCs w:val="17"/>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We presently do not have a valuation allowance on our net deferred tax assets. If our financial results continue to be adversely impacted by COVID-19, there can be no assurance that a valuation allowance on our net deferred tax assets will not be required in the future. Such valuation allowance could be material. Additionally, the NOL Carryforwards may expire before we can generate sufficient taxable income to use them.</w:t>
      </w:r>
    </w:p>
    <w:p>
      <w:pPr>
        <w:spacing w:after="0" w:line="20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Inc. (“US Airways Group”) experienced an ownership change in connection with the acquisition of US Airways Group by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$ 7.3 billion of unlimited NOL still remaining at December 31, 2019)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a government acquisition of warrants, stock options, common or preferred stock or other equity acquired in relation to the program does not result in an ownership change for purposes of section 382. This exception does not apply for companies issuing warrants, stock options, common or preferred stock or other equity pursuant to the Payroll Support Program and accordingly will not apply to the warrants issued by us under that program.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“Risk Factors—Certain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294"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Company Limited,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the timely execution of our strategic operating plans, including the finalization, approval and implementation of new strategic relationships or the expansion of existing relationships. These events could have a material adverse effect on our business, results of operations and financial condition.</w:t>
      </w:r>
    </w:p>
    <w:p>
      <w:pPr>
        <w:spacing w:after="0" w:line="28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68" w:lineRule="exact"/>
        <w:rPr>
          <w:sz w:val="20"/>
          <w:szCs w:val="20"/>
          <w:color w:val="auto"/>
        </w:rPr>
      </w:pPr>
    </w:p>
    <w:p>
      <w:pPr>
        <w:ind w:left="120" w:right="100" w:firstLine="551"/>
        <w:spacing w:after="0" w:line="251"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In light of the effect COVID-19 is having on demand for air travel and, in turn, capacity, we have seen an increase in demand from consumers for refunds on their tickets, and we anticipate this will continue to be the case for the near future. Requests for refunds may reduce our liquidity and risk triggering liquidity covenants in these processing agreements and, in doing so, could force us to post cash or other collateral with the credit card processing companies in respect of advance ticket sales.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9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68"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the first quarter of 2020, we recorded an $ 815 million impairment charge associated with our decision to retire certain mainline aircraft, principally Boeing 757, Boeing 767, Airbus A330-300 and Embraer 190 aircraft as well as regional aircraft, including certain Embraer 140 and Bombardier CRJ200 aircraft, earlier than previously planned as a result of the decline in demand for air travel due to COVID-19.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02"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17"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spacing w:after="0" w:line="246" w:lineRule="auto"/>
        <w:rPr>
          <w:sz w:val="20"/>
          <w:szCs w:val="20"/>
          <w:color w:val="auto"/>
        </w:rPr>
      </w:pPr>
      <w:r>
        <w:rPr>
          <w:rFonts w:ascii="Arial" w:cs="Arial" w:eastAsia="Arial" w:hAnsi="Arial"/>
          <w:sz w:val="18"/>
          <w:szCs w:val="18"/>
          <w:color w:val="auto"/>
        </w:rPr>
        <w:t>our Board of Directors, or any determination to cease repurchasing stock or paying dividends (which we have suspended for an indefinite period in accordance with the applicable requirements under the CARES Act);</w:t>
      </w:r>
    </w:p>
    <w:p>
      <w:pPr>
        <w:spacing w:after="0" w:line="102"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17" w:lineRule="exact"/>
        <w:rPr>
          <w:rFonts w:ascii="Arial" w:cs="Arial" w:eastAsia="Arial" w:hAnsi="Arial"/>
          <w:sz w:val="18"/>
          <w:szCs w:val="18"/>
          <w:color w:val="auto"/>
        </w:rPr>
      </w:pPr>
    </w:p>
    <w:p>
      <w:pPr>
        <w:ind w:left="880" w:right="20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Following the end of those restrictions, if we do decide to make repurchases of or pay dividends on our common stock, we cannot guarantee that we will continue to do so or that our capital deployment program will enhance long-term stockholder value. Our capital deployment program could increase the volatility of the price of our common stock and diminish our cash reserves.</w:t>
      </w:r>
    </w:p>
    <w:p>
      <w:pPr>
        <w:spacing w:after="0" w:line="90"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March 31, 2020, there was $420 million of remaining authority to repurchase shares under our current $ 2.0 billion share repurchase program. In connection with our receipt of financial assistance through the Payroll Support Program under the CARES Act, we agreed not to repurchase shares of AAG common stock through September 30, 2021. If we receive a secured loan from the Treasury through the loan program under the CARES Act, we will be prohibited from repurchasing shares of AAG common stock through the date that is one year after such secured loan is fully repaid.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and other relevant factors. Our repurchase of AAG common stock may be limited, suspended or discontinued at any time at our discretion and without prior notice.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In connection with our receipt of payroll support under the CARES Act, we agreed not to pay dividends on AAG common stock through September 30, 2021. If we receive a secured loan from the Treasury through the loan program under the CARES Act, we will be prohibited from paying dividends on AAG common stock through the date that is one year after such secured loan is fully repaid.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8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68" w:lineRule="exact"/>
        <w:rPr>
          <w:sz w:val="20"/>
          <w:szCs w:val="20"/>
          <w:color w:val="auto"/>
        </w:rPr>
      </w:pPr>
    </w:p>
    <w:p>
      <w:pPr>
        <w:ind w:left="120" w:right="100" w:firstLine="551"/>
        <w:spacing w:after="0" w:line="261" w:lineRule="auto"/>
        <w:rPr>
          <w:sz w:val="20"/>
          <w:szCs w:val="20"/>
          <w:color w:val="auto"/>
        </w:rPr>
      </w:pPr>
      <w:r>
        <w:rPr>
          <w:rFonts w:ascii="Arial" w:cs="Arial" w:eastAsia="Arial" w:hAnsi="Arial"/>
          <w:sz w:val="17"/>
          <w:szCs w:val="17"/>
          <w:color w:val="auto"/>
        </w:rPr>
        <w:t>Our Certificate of Incorporation and Bylaws include significant provisions that limit voting and ownership and disposition of our equity interests.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72" w:lineRule="exact"/>
        <w:rPr>
          <w:sz w:val="20"/>
          <w:szCs w:val="20"/>
          <w:color w:val="auto"/>
        </w:rPr>
      </w:pPr>
    </w:p>
    <w:p>
      <w:pPr>
        <w:ind w:left="120" w:right="20"/>
        <w:spacing w:after="0" w:line="301"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8"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02"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1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This Offering</w:t>
      </w:r>
    </w:p>
    <w:p>
      <w:pPr>
        <w:spacing w:after="0" w:line="21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Our high level of debt and other obligations could impair our financial flexibility, competitive position and financial condition and could prevent us from fulfilling our obligations under the notes.</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As of March 31, 2020, after giving effect to the offering of the notes, the Concurrent Common Stock Offering and other recent financings, on an as adjusted basis as set forth under the section titled “Capitalization,” we and the guarantor would have had approximately $39.3 billion in indebtedness, finance lease obligations, and operating lease liabilities, of which approximately $35.9 billion would have been secured indebtedness, finance lease obligations and operating lease liabilities. See “Summary—Recent Developments,” “Description of Other Indebtedness” and “Description of the Concurrent Transactions” for additional indebtedness we incurred pursuant to the JFK Offering and anticipate incurring in connection with the Concurrent Senior Secured Notes Offering, the Concurrent Term Loan Financing and certain secured loans we are in the process of obtaining under CARES Act, each of which is not included in the as adjusted amounts under the section titled “Capitalization.” We are permitted by the terms of our other indebtedness to incur substantial amounts of additional indebtedness and other obligations, subject to the restrictions therein. An inability to generate sufficient cash flow to satisfy our debt obligations, or to refinance our obligations on commercially reasonable terms, could have a material adverse effect on our business, financial condition and results of operations.</w:t>
      </w:r>
    </w:p>
    <w:p>
      <w:pPr>
        <w:spacing w:after="0" w:line="21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Our substantial indebtedness and other obligations, which are generally greater than the indebtedness and other obligations of our competitors, could have other important consequences for investors in the notes. For example, they may:</w:t>
      </w:r>
    </w:p>
    <w:p>
      <w:pPr>
        <w:spacing w:after="0" w:line="102"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 including the notes;</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02"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60" w:hanging="224"/>
        <w:spacing w:after="0" w:line="24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17" w:lineRule="exact"/>
        <w:rPr>
          <w:rFonts w:ascii="Arial" w:cs="Arial" w:eastAsia="Arial" w:hAnsi="Arial"/>
          <w:sz w:val="18"/>
          <w:szCs w:val="18"/>
          <w:color w:val="auto"/>
        </w:rPr>
      </w:pPr>
    </w:p>
    <w:p>
      <w:pPr>
        <w:ind w:left="1320" w:right="140" w:hanging="435"/>
        <w:spacing w:after="0" w:line="246" w:lineRule="auto"/>
        <w:tabs>
          <w:tab w:leader="none" w:pos="13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21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currently anticipate that it will be necessary to obtain a significant amount of additional financing in the near-term from a variety of sources in addition to this offering, the Concurrent Transactions and the loan program under the CARES Act. Any such actions could be conducted in the near term, may be material in nature, could result in the incurrence of significant additional indebtedness and could impose significant covenants and restrictions to which we are not currently subject. For instance, in connection with the financial assistance we have received and expect to receive through the Payroll Support Program and loan program under the CARES Act, we will be required to comply with the relevant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213" w:lineRule="exact"/>
        <w:rPr>
          <w:sz w:val="20"/>
          <w:szCs w:val="20"/>
          <w:color w:val="auto"/>
        </w:rPr>
      </w:pPr>
    </w:p>
    <w:p>
      <w:pPr>
        <w:jc w:val="both"/>
        <w:ind w:left="120" w:firstLine="551"/>
        <w:spacing w:after="0" w:line="261" w:lineRule="auto"/>
        <w:rPr>
          <w:sz w:val="20"/>
          <w:szCs w:val="20"/>
          <w:color w:val="auto"/>
        </w:rPr>
      </w:pPr>
      <w:r>
        <w:rPr>
          <w:rFonts w:ascii="Arial" w:cs="Arial" w:eastAsia="Arial" w:hAnsi="Arial"/>
          <w:sz w:val="17"/>
          <w:szCs w:val="17"/>
          <w:color w:val="auto"/>
        </w:rPr>
        <w:t>The obligations discussed above, including those imposed as a result of the CARES Act and any additional financings we may be required to undertake as a result of the impact of COVID-19, could also impact our ability to obtain additional financing, if needed, and our flexibility in the conduct of our business, and could materially adversely affect our liquidity, results of operations and financial condition.</w:t>
      </w:r>
    </w:p>
    <w:p>
      <w:pPr>
        <w:spacing w:after="0" w:line="186"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91"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Interest in our Quarterly Report on Form 10-Q for the quarter ended March 31, 2020.</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an agreement with our lenders on any such amendments. As of March 31, 2020, we had $10.7 billion of borrowings based on LIBOR. The replacement of LIBOR with a comparable or successor rate could cause the amount of interest payable on our long-term debt to be different or higher than expected.</w:t>
      </w:r>
    </w:p>
    <w:p>
      <w:pPr>
        <w:spacing w:after="0" w:line="205"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Any of the above listed factors or obligations, including those imposed as a result of the CARES Act and any additional financings we may be required to undertake as a result of the impact of COVID-19, could materially adversely affect our business, financial condition and results of operations.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our outstanding indebtedness, see “Description of Other Indebtedness.”</w:t>
      </w:r>
    </w:p>
    <w:p>
      <w:pPr>
        <w:spacing w:after="0" w:line="298"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The notes will be structurally subordinated to the liabilities of our subsidiaries other than the guarantor, including any such entities’ guarantee of our other financings.</w:t>
      </w:r>
    </w:p>
    <w:p>
      <w:pPr>
        <w:spacing w:after="0" w:line="68"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After the completion of this offering, only the guarantor will guarantee the notes and the notes will rank structurally junior to all indebtedness and other liabilities (including trade payables) of our subsidiaries other than the guarantor. We and the guarantor will be the only obligors under the notes and holders of the notes will be creditors of only us and the guarantor. None of our other subsidiaries will guarantee the notes. We also conduct operations through our other non-guarantor subsidiaries and those non-guarantor subsidiaries carry liabilities and obligations, and may incur additional liabilities and obligations in the future by guaranteeing liabilities and obligations of ours and of the guarantor, including with respect to the loan program under the CARES Act. Generally, holders of indebtedness of, and trade creditors of, non-guarantor subsidiaries, including lenders under bank financing agreements, are entitled to payments of their claims from the assets of such subsidiaries before the assets are made available for distribution to any shareholder, including us and the guarantor.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in the event that any non-guarantor subsidiary becomes insolvent, liquidates or otherwise reorganizes:</w:t>
      </w:r>
    </w:p>
    <w:p>
      <w:pPr>
        <w:spacing w:after="0" w:line="117"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creditors (including the holders of the notes) may have no right to proceed against the assets of such subsidiary; and</w:t>
      </w:r>
    </w:p>
    <w:p>
      <w:pPr>
        <w:spacing w:after="0" w:line="117" w:lineRule="exact"/>
        <w:rPr>
          <w:rFonts w:ascii="Arial" w:cs="Arial" w:eastAsia="Arial" w:hAnsi="Arial"/>
          <w:sz w:val="18"/>
          <w:szCs w:val="18"/>
          <w:color w:val="auto"/>
        </w:rPr>
      </w:pPr>
    </w:p>
    <w:p>
      <w:pPr>
        <w:jc w:val="both"/>
        <w:ind w:left="880" w:right="6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creditors of such non-guarantor subsidiary, including trade creditors, will generally be entitled to payment in full from the sale or other disposal of the assets of such subsidiary before any shareholder, such us or the guarantor will be entitled to receive any distributions from such subsidiary.</w:t>
      </w:r>
    </w:p>
    <w:p>
      <w:pPr>
        <w:spacing w:after="0" w:line="203"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As of March 31, 2020, exclusive of the effect of the offering of notes contemplated by this prospectus supplement and the Concurrent Transactions, we and the guarantor had $34.3 billion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indebtedness, finance lease obligations, and operating lease liabilities. See “Summary—Recent Developments” and “Description of Other Indebtedness” for additional indebtedness we incurred pursuant to the JFK Offering and anticipate incurring in connection with the CARES Act. For the quarter ended March 31, 2020, our non-guarantor subsidiaries generated approximately 9% of our operating revenues and less than 1% of our operating loss, and as of March 31, 2020, our non-guarantor subsidiaries held less than 1% of our total assets and our total liabilities, respectively, and all such liabilities would have been structurally senior to the notes.</w:t>
      </w:r>
    </w:p>
    <w:p>
      <w:pPr>
        <w:spacing w:after="0" w:line="288"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The notes and the note guarantee will be effectively subordinated to AAG and the Guarantor’s respective existing and future indebtedness or other obligations secured by liens on assets, to the extent of the value of the assets pledged to secure those obligations.</w:t>
      </w:r>
    </w:p>
    <w:p>
      <w:pPr>
        <w:spacing w:after="0" w:line="8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If we or the guarantor become insolvent or are liquidated, or if payment under any secured obligation is accelerated, holders of secured indebtedness will be entitled to exercise the remedies available to a secured creditor under applicable law and pursuant to the terms of the agreement securing such indebtedness. The notes will not be secured by any assets, including the stock of any of our subsidiaries or any intercompany debt. Consequently, with respect to the exercise of remedies by holders of our secured indebtedness or any existing or future indebtedness or other obligations secured by liens on assets, the proceeds of our and the guarantor’s assets will not be available to the holders of the notes until after all of the obligations under such secured indebtedness are repaid in full. As a result, the notes and the note guarantee will be effectively subordinated to the obligations under any existing or future indebtedness or other obligations secured by liens on assets to the extent of the value of those assets. See “Capitalization” for a summary of our secured debt obligations.</w:t>
      </w:r>
    </w:p>
    <w:p>
      <w:pPr>
        <w:spacing w:after="0" w:line="293"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We are a holding company, and repayment of our debt, including the notes, is largely dependent on cash flow generated by our subsidiaries.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a holding company and substantially all of our operations are conducted through our subsidiaries. Accordingly, repayment of our indebtedness, including the notes, is largely dependent on the generation of cash flow by our subsidiaries and their ability to make such cash available to us, by dividend, debt repayment or otherwise. The ability of our subsidiaries to make payments to us will depend on their ability to generate cash in the future. This is subject, to a certain extent, to general economic, financial, competitive, legislative, regulatory and other factors that may be beyond our control. None of our non-guarantor subsidiaries has guaranteed or otherwise become obligated with respect to the notes. Our subsidiaries may not generate sufficient cash flow from operations to enable us to pay our indebtedness or to fund our other liquidity needs, which could cause an event of default under the notes or lead our creditors to foreclose on the assets securing our other borrowings or indebtedness. In addition, our subsidiaries may not be able to, or may not be permitted to, make distributions to enable us to make payments on our indebtedness. For example, in connection with the provision of financial assistance under the Payroll Support Program in connection with the CARES Act, American and certain of our other subsidiaries are prohibited from paying dividends to us through the date that is one year after our obligations are repaid. The indenture governing the notes will not prohibit any of our subsidiaries from incurring additional liabilities. Each subsidiary is a distinct legal entity and, in certain circumstances, legal and contractual restrictions may limit our ability to obtain cash from our non-guarantor subsidiaries. In such a case, we may not be able to make required principal and interest payments on the notes.</w:t>
      </w:r>
    </w:p>
    <w:p>
      <w:pPr>
        <w:spacing w:after="0" w:line="300"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Federal and state fraudulent transfer laws may permit a court to void obligations under the notes or the note guarantee, and, if that occurs, you may not receive any payments on the notes.</w:t>
      </w:r>
    </w:p>
    <w:p>
      <w:pPr>
        <w:spacing w:after="0" w:line="68"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Under federal bankruptcy law and comparable provisions of state fraudulent transfer or conveyance laws, which may vary from state to state, the incurrence of indebtedness (including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indebtedness under the notes and the note guarantee) could be voided as a fraudulent transfer or conveyance if (i) we or the guarantor, as applicable, incurred the indebtedness with the intent of hindering, delaying or defrauding creditors or (ii) we or the guarantor, as applicable, received less than reasonably equivalent value or fair consideration in return for incurring the indebtedness and, in the case of (ii) only, one of the following is also true at the time thereof:</w:t>
      </w:r>
    </w:p>
    <w:p>
      <w:pPr>
        <w:spacing w:after="0" w:line="110" w:lineRule="exact"/>
        <w:rPr>
          <w:sz w:val="20"/>
          <w:szCs w:val="20"/>
          <w:color w:val="auto"/>
        </w:rPr>
      </w:pPr>
    </w:p>
    <w:p>
      <w:pPr>
        <w:ind w:left="880" w:right="14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the guarantor, as applicable, was insolvent or rendered insolvent by reason of the issuance of the notes or the incurrence of the note guarantee;</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incurrence of the indebtedness left us or the guarantor, as applicable, with an unreasonably small amount of capital to carry on the business;</w:t>
      </w:r>
    </w:p>
    <w:p>
      <w:pPr>
        <w:spacing w:after="0" w:line="102"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the guarantor intended to, or believed that we or the guarantor would, incur debts beyond our or the guarantor’s ability to pay as they mature; or</w:t>
      </w:r>
    </w:p>
    <w:p>
      <w:pPr>
        <w:spacing w:after="0" w:line="102"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the guarantor was a defendant in an action for money damages, or had a judgment for money damages docketed against us or the guarantor if, in either case, after final judgment, the judgment is unsatisfied.</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If a court were to find that the incurrence of obligations under the notes or the note guarantee was a fraudulent transfer or conveyance, the court could void the amounts owing under the notes or the note guarantee or further subordinate such amounts to presently existing and future indebtedness of ours or of the guarantor, or require the holders of the notes to repay any amounts received with respect to the notes or the note guarantee. If a court finds that a fraudulent transfer or conveyance occurred, you may not receive any repayment on the notes or collect on the note guarantee.</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an antecedent debt is secured or satisfied. A debtor will generally not be considered to have received value in connection with a debt offering if the debtor uses the proceeds of that offering to make a dividend payment or otherwise retire or redeem equity securities issued by the debtor.</w:t>
      </w:r>
    </w:p>
    <w:p>
      <w:pPr>
        <w:spacing w:after="0" w:line="205"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We cannot be certain as to the standards a court would use to determine whether or not we or the guarantor were solvent at the relevant time or, regardless of the standard that a court uses, that the obligations under the notes or the note guarantee would not be further subordinated to our or any of the guarantor’s other debt.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repay the notes at maturity.</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At maturity, the entire outstanding principal amount of the notes, together with accrued and unpaid interest, will become due and payable. We may not have the funds to fulfill these obligations or the ability to refinance these obligations. If the maturity date occurs at a time when other arrangements prohibit us from repaying the notes, we could try to obtain waivers of such prohibitions from the lenders and holders under those arrangements, or we could attempt to refinance the borrowings that contain the restrictions. In these circumstances, if we cannot obtain such waivers or refinance these borrowings, we would be unable to repay the notes.</w:t>
      </w:r>
    </w:p>
    <w:p>
      <w:pPr>
        <w:spacing w:after="0" w:line="288"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Any credit ratings assigned to the notes may not reflect all risks of an investment in the notes, and an adverse rating of the notes may cause their trading price to fall and could result in increased interest and other financial expenses related to future borrowings.</w:t>
      </w:r>
    </w:p>
    <w:p>
      <w:pPr>
        <w:spacing w:after="0" w:line="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Credit rating agencies continually revise their ratings for the companies that they follow, including us and the guarantor. The credit rating agencies also evaluate the airline industry as a whole and may change their credit ratings for us the guarantor based on their overall view of the industry. For instance,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the COVID-19 pandemic, our corporate credit rating was reduced. We cannot be sure that credit rating agencies will maintain their corporate ratings of us or the guarantor, or their initial ratings on the notes. A negative change in our or the guarantor’s ratings, which could occur at any time including between pricing and closing of this offering, could have an adverse effect on the market for and price of the notes. Any credit ratings assigned to the notes reflect the rating agencies’ assessments of our ability to make payments on the notes when due.</w:t>
      </w:r>
    </w:p>
    <w:p>
      <w:pPr>
        <w:spacing w:after="0" w:line="202"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Consequently, real or anticipated changes in these credit ratings will generally affect the market value of the notes. These credit ratings, however, may not reflect the potential impact of risks related to the structure, market or other factors related to the value of the notes. Any credit rating assigned to the notes is not a recommendation to purchase, hold or sell the notes, because such rating does not address market price or suitability for a particular investor.</w:t>
      </w:r>
    </w:p>
    <w:p>
      <w:pPr>
        <w:spacing w:after="0" w:line="205"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A decision by a rating agency to downgrade the rating of the notes in the future could result in increased interest and other financial expenses relating to our future borrowings and could restrict our ability to obtain additional financing on satisfactory terms, if at all. In addition, any downgrade could restrict our access to, and negatively impact the terms of, trade credit extended to us by our vendors.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The notes are a new issue of securities for which there is currently no public market, and an active trading market for the notes might never develop. If traded after their initial issuance, the notes may trade at a discount from their initial offering price, depending on prevailing interest rates, the market for similar securities, our performance and other factors. To the extent that an active trading market does not develop, the liquidity and trading prices for the notes may be harmed.</w:t>
      </w:r>
    </w:p>
    <w:p>
      <w:pPr>
        <w:spacing w:after="0" w:line="205"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We do not plan to list the notes on a securities exchange. We have been advised by the underwriters that they presently intend to make a market in the notes in a manner permitted under applicable securities laws. However, the underwriters are not obligated to do so. Any market-making activity, if initiated, may be discontinued at any time and without notice. If the underwriters cease to act as the market makers for the notes, we cannot assure you another firm or person will make a market in the notes.</w:t>
      </w:r>
    </w:p>
    <w:p>
      <w:pPr>
        <w:spacing w:after="0" w:line="205"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The liquidity of any market for the notes will depend upon, among other factors, the number of holders of the notes, our results of operations and financial condition, the credit ratings of the notes, the market for similar securities and the interest of securities dealers in making a market in the notes.</w:t>
      </w:r>
    </w:p>
    <w:p>
      <w:pPr>
        <w:spacing w:after="0" w:line="289"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Our management may spend the proceeds of this offering and the Concurrent Transactions in ways with which you may disagree or that may not be profitable.</w:t>
      </w:r>
    </w:p>
    <w:p>
      <w:pPr>
        <w:spacing w:after="0" w:line="6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intend to use the net proceeds to us from this offering, together with Concurrent Transactions, if they are consummated, for general corporate purposes and to enhance our liquidity position. However, our management will have broad discretion to apply the net proceeds, and investors will rely on our management’s judgment in spending the net proceeds. Our management may use the proceeds in ways that do not earn a profit or otherwise result in the creation of stockholder value. In addition, pending our use of the proceeds, we may invest the proceeds primarily in instruments that do not produce significant income or that may lose value.</w:t>
      </w:r>
    </w:p>
    <w:p>
      <w:pPr>
        <w:spacing w:after="0" w:line="28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Because the notes will initially be held in book-entry form, noteholders must rely on DTC’s procedures to exercise their rights and remedies.</w:t>
      </w:r>
    </w:p>
    <w:p>
      <w:pPr>
        <w:spacing w:after="0" w:line="68"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will initially issue the notes in the form of one or more “global notes” registered in the name of Cede &amp; Co., as nominee of DTC. Beneficial interests in global notes will be shown on, and transfers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line="248" w:lineRule="auto"/>
        <w:rPr>
          <w:sz w:val="20"/>
          <w:szCs w:val="20"/>
          <w:color w:val="auto"/>
        </w:rPr>
      </w:pPr>
      <w:r>
        <w:rPr>
          <w:rFonts w:ascii="Arial" w:cs="Arial" w:eastAsia="Arial" w:hAnsi="Arial"/>
          <w:sz w:val="17"/>
          <w:szCs w:val="17"/>
          <w:color w:val="auto"/>
        </w:rPr>
        <w:t>global notes will be effected only through, the records maintained by DTC. Except in limited circumstances, we will not issue certificated notes. See “Description of Notes—Book Entry, Settlement and Clearance.” Accordingly, if you own a beneficial interest in a global note, then you will not be considered an owner or holder of the notes. Instead, DTC or its nominee will be the sole holder of the notes.</w:t>
      </w:r>
    </w:p>
    <w:p>
      <w:pPr>
        <w:spacing w:after="0" w:line="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Payments of principal, interest and other amounts on global notes will be made to the paying agent, who will remit the payments to DTC. We expect that DTC will then credit those payments to the DTC participant accounts that hold book-entry interests in the global notes and that those participants will credit the payments to indirect DTC participants. Unlike persons who have certificated notes registered in their names, owners of beneficial interests in global notes will not have the direct right to act on our solicitations for consents or requests for waivers or other actions from noteholders. Instead, those beneficial owners will be permitted to act only to the extent that they have received appropriate proxies to do so from DTC or, if applicable, a DTC participant. The applicable procedures for the granting of these proxies may not be sufficient to enable owners of beneficial interests in global notes to vote on any requested actions on a timely basis.</w:t>
      </w:r>
    </w:p>
    <w:p>
      <w:pPr>
        <w:spacing w:after="0" w:line="289"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Noteholders may, subject to a limited exception described in this prospectus supplement, require us to repurchase their notes following a fundamental change at a cash repurchase price equal to the principal amount of the notes to be repurchased, plus accrued and unpaid interest, if any. See “Description of Notes—Fundamental Change Permits Noteholders to Require Us to Repurchase Notes.”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29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Not all events that may adversely affect the trading price of the notes and our common stock will result in an adjustment to the conversion rate.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adjust the conversion rate of the notes for certain events, including:</w:t>
      </w:r>
    </w:p>
    <w:p>
      <w:pPr>
        <w:spacing w:after="0" w:line="117"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stock dividends, splits and combinations;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certain rights, options or warrants to holders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distributions of assets, debt securities, capital stock or other property to holders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dividends on our common stock;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tender or exchange offers.</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See “Description of Notes—Conversion Rights—Conversion Rate Adjustments.” We are not required to adjust the conversion rate for other events, such as third-party tender offers or an issuance of common stock (or securities exercisable for, or convertible into, common stock) for cash, that may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adversely affect the trading price of the notes and our common stock. An event may occur that adversely affects the noteholders and the trading price of the notes and the underlying shares of our common stock but that does not result in an adjustment to the conversion rate.</w:t>
      </w:r>
    </w:p>
    <w:p>
      <w:pPr>
        <w:spacing w:after="0" w:line="261"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Not all significant restructuring transactions will constitute a fundamental change, in which case you will not have the right to require us to repurchase your notes for cash.</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certain corporate events called “fundamental changes” occur, you will have the right to require us to repurchase your notes for cash. See “Description of Notes—Fundamental Change Permits Noteholders to Require Us to Repurchase Notes.” However, the definition of “fundamental change” is limited to specific corporate events and does not include all events that may adversely affect our financial condition or the trading price of the notes. For example, a leveraged recapitalization, refinancing, restructuring or acquisition by us may not constitute a fundamental change that would require us to repurchase the notes. Nonetheless, these events could significantly increase the amount of our indebtedness, harm our credit rating or adversely affect our capital structure and the trading price of the notes.</w:t>
      </w:r>
    </w:p>
    <w:p>
      <w:pPr>
        <w:spacing w:after="0" w:line="29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The increase to the conversion rate resulting from a make-whole fundamental change may not adequately compensate noteholders for the lost option value of their notes. In addition, a variety of transactions that do not constitute a make-whole fundamental change may significantly reduce the option value of the notes without a corresponding increase to the conversion rate.</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certain corporate events that constitute a “make-whole fundamental change” occur (including our calling the notes for redemption), then we will, in certain circumstances, temporarily increase the conversion rate. See “Description of Notes—Conversion Rights—Increase in Conversion Rate in Connection with a Make-Whole Fundamental Change.” The amount of the increase to the conversion rate will depend on the date on which the make-whole fundamental change becomes effective or the redemption notice date, as applicable, and the applicable “stock price”, which is the price paid (or deemed to be paid) per share of our common stock in such transaction or determined with respect to the notice of redemption. While the increase to the conversion rate is designed to compensate noteholders for the lost option value of their notes resulting from a make-whole fundamental change, the increase is only an approximation and may not adequately compensate noteholders for the loss in option value. In addition, if the applicable “stock price” is greater than $125.00 per share or less than $13.50 per share (in each case, subject to adjustment), then we will not increase the conversion rate for the make-whole fundamental change. Moreover, we will not increase the conversion rate pursuant to these provisions to an amount that exceeds 74.0740 shares per $1,000 principal amount of notes, subject to adjustment.</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Furthermore, the definition of make-whole fundamental change is limited to certain specific transactions. Accordingly, the make-whole fundamental change provisions of the indenture will not protect noteholders from other transactions that could significantly reduce the option value of the notes. For example, a spin-off or sale of a subsidiary or business division with volatile earnings, or a change in our line of business, could significantly affect the trading characteristics of our common stock and reduce the option value of the notes without constituting a make-whole fundamental change that results in a temporary increase to the conversion rate.</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In addition, our obligation to increase the conversion rate in connection with a make-whole fundamental change could be</w:t>
      </w:r>
    </w:p>
    <w:p>
      <w:pPr>
        <w:jc w:val="center"/>
        <w:ind w:right="180"/>
        <w:spacing w:after="0"/>
        <w:rPr>
          <w:sz w:val="20"/>
          <w:szCs w:val="20"/>
          <w:color w:val="auto"/>
        </w:rPr>
      </w:pPr>
      <w:r>
        <w:rPr>
          <w:rFonts w:ascii="Arial" w:cs="Arial" w:eastAsia="Arial" w:hAnsi="Arial"/>
          <w:sz w:val="18"/>
          <w:szCs w:val="18"/>
          <w:color w:val="auto"/>
        </w:rPr>
        <w:t>considered a penalty, in which case its enforceability would be subject to general principles of reasonableness and equitable remedies.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The trading price of our common stock, the condition of the financial markets, prevailing interest rates and other factors could significantly affect the trading price of the notes.</w:t>
      </w:r>
    </w:p>
    <w:p>
      <w:pPr>
        <w:spacing w:after="0" w:line="68"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expect that the trading price of our common stock will significantly affect the trading price of the notes, which could result in greater volatility in the trading price of the notes than would be expected for non-convertible securities. The trading price of our common stock will likely continue to fluctuate in response to the factors described or referred to elsewhere in this section and under the caption “Special Note About Forward-Looking Statements,” among others, many of which are beyond our control.</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the condition of the financial markets and changes in prevailing interest rates can have an adverse effect on the trading price of the notes. For example, prevailing interest rates have fluctuated in the past and are likely to fluctuate in the future, and we would expect an increase in prevailing interest rates to depress the trading price of the notes.</w:t>
      </w:r>
    </w:p>
    <w:p>
      <w:pPr>
        <w:spacing w:after="0" w:line="28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including sales made pursuant to the Concurrent Common Stock Offering, or rights to acquire shares of our common stock, could depress the trading price of our common stock and the notes.</w:t>
      </w:r>
    </w:p>
    <w:p>
      <w:pPr>
        <w:spacing w:after="0" w:line="68"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to fund acquisitions, or for other purposes. In addition, as of March 31, 2020, we had reserved 8,935,105 shares issuable upon the exercise of outstanding restricted stock units and we had 25,633,346 shares available for issuance under our 2013 Equity Incentive Plan. See also “Summary—Recent Developments—CARES Act” for information regarding approximately 13.7 million shares of our common stock underlying the warrants issuable in connection with the PSP Agreement and</w:t>
      </w:r>
    </w:p>
    <w:p>
      <w:pPr>
        <w:spacing w:after="0" w:line="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38 million shares of our common stock that we expect to issue to the Treasury in connection with the approximately $4.75 billion secured loan we are in the process of obtaining pursuant to the CARES Act. We also expect to issue 74,100,000 shares of our common stock in the Concurrent Common Stock Offering (or 85,215,000 shares if the underwriters exercise their right to purchase additional shares solely to cover over-allotments). The indenture for the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make only very limited covenants in the indenture, and these limited covenants may not protect your investment.</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Many debt instruments contain provisions that are designed to restrict the borrower’s activities and operations in a manner that is designed to preserve the borrower’s ability to make payments on the related indebtedness when due. These provisions include financial and operating covenants, and restrictions on the payments of dividends, the incurrence of indebtedness or the issuance or repurchase of securities by the borrower or any of its subsidiaries. The indenture for the notes will not contain any of these covenants or restrictions or otherwise place any meaningful restrictions on our ability to operate our business as management deems appropriate. As a result, your investment in the notes may not be as protected as an investment in an instrument that contains some or all of these types of covenants and restrictions.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80"/>
        <w:spacing w:after="0" w:line="271" w:lineRule="auto"/>
        <w:rPr>
          <w:sz w:val="20"/>
          <w:szCs w:val="20"/>
          <w:color w:val="auto"/>
        </w:rPr>
      </w:pPr>
      <w:r>
        <w:rPr>
          <w:rFonts w:ascii="Arial" w:cs="Arial" w:eastAsia="Arial" w:hAnsi="Arial"/>
          <w:sz w:val="18"/>
          <w:szCs w:val="18"/>
          <w:b w:val="1"/>
          <w:bCs w:val="1"/>
          <w:i w:val="1"/>
          <w:iCs w:val="1"/>
          <w:color w:val="auto"/>
        </w:rPr>
        <w:t>Recent and future regulatory actions, changes in market conditions and other events may adversely affect the trading price and liquidity of the notes and the ability of investors to implement a convertible note arbitrage trading strategy.</w:t>
      </w:r>
    </w:p>
    <w:p>
      <w:pPr>
        <w:spacing w:after="0" w:line="68" w:lineRule="exact"/>
        <w:rPr>
          <w:sz w:val="20"/>
          <w:szCs w:val="20"/>
          <w:color w:val="auto"/>
        </w:rPr>
      </w:pPr>
    </w:p>
    <w:p>
      <w:pPr>
        <w:jc w:val="both"/>
        <w:ind w:left="120" w:right="100" w:firstLine="551"/>
        <w:spacing w:after="0" w:line="238" w:lineRule="auto"/>
        <w:rPr>
          <w:sz w:val="20"/>
          <w:szCs w:val="20"/>
          <w:color w:val="auto"/>
        </w:rPr>
      </w:pPr>
      <w:r>
        <w:rPr>
          <w:rFonts w:ascii="Arial" w:cs="Arial" w:eastAsia="Arial" w:hAnsi="Arial"/>
          <w:sz w:val="18"/>
          <w:szCs w:val="18"/>
          <w:color w:val="auto"/>
        </w:rPr>
        <w:t>We expect that many investors in the notes, including potential purchasers of the notes from investors in this offering, will seek to employ a convertible note arbitrage strategy. Under this strategy, investors typically short sell a certain number of shares of our common stock and adjust their short position over time while they continue to hold the notes. Investors may also implement this type of strategy by entering into swaps on our common stock in lieu of, or in addition to, short selling shares of our common stock.</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SEC and other regulatory authorities have implemented various rules and taken certain actions, and may in the future adopt additional rules and take other actions, that may impact those engaging in short selling activity involving equity securities (including our common stock). These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investors’ ability to effect short sales of our common stock or enter into equity swaps on our common stock could depress the trading price of, and the liquidity of the market for, the notes.</w:t>
      </w:r>
    </w:p>
    <w:p>
      <w:pPr>
        <w:spacing w:after="0" w:line="20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addition, the liquidity of the market for our common stock and other market conditions could deteriorate, which could reduce, or eliminate entirely, the number of shares available for lending in connection with short sale transactions and the number of counterparties willing to enter into an equity swap on our common stock with a note investor. These and other market events could make implementing a convertible note arbitrage strategy prohibitively expensive or infeasible. If investors in this offering or potential purchasers of the notes that seek to employ a convertible note arbitrage strategy are unable to do so on commercial terms, or at all, then the trading price of, and the liquidity of the market for, the notes may significantly decline.</w:t>
      </w:r>
    </w:p>
    <w:p>
      <w:pPr>
        <w:spacing w:after="0" w:line="291"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You may be subject to tax if we make or fail to make certain adjustments to the conversion rate of the notes even though you do not receive a corresponding cash distribution.</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conversion rate of the notes is subject to adjustment in certain circumstances, including the payment of cash dividends. If the conversion rate is adjusted as a result of a distribution that is taxable to our common stockholders, such as a cash dividend, you will be deemed to have received a dividend subject to U.S. federal income tax without the receipt of any cash. In addition, a failure to adjust (or to adjust adequately) the conversion rate after an event that increases your proportionate interest in us could be treated as a deemed taxable dividend to you. If a make-whole fundamental change occurs prior to the maturity date, under some circumstances, we will increase the conversion rate for notes converted in connection with the make-whole fundamental change. Such increase may also be treated as a distribution subject to U.S. federal income tax as a dividend. See “Certain U.S. Federal Income Tax Considerations.” If you are a non-U.S. holder (as defined in “Certain U.S. Federal Income Tax Considerations”), any deemed dividend would generally be subject to U.S. federal withholding tax at a 30% rate, or such lower rate as may be specified by an applicable income tax treaty, which may be withheld from or set off against subsequent payments on the notes or any shares of our common stock owned by such non-U.S. holder or from any proceeds of any subsequent sale, exchange or other disposition of such note (including the retirement of such note) or such common stock by such non-U.S. holder or other funds or assets of such non-U.S. holder. The Internal Revenue Service has issued proposed regulations addressing the amount and timing of deemed distributions, obligations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withholding agents and filing and notice obligations of issuers, which if adopted could affect the U.S. federal income tax treatment of a holder of notes deemed to receive such a distribution. See “Certain U.S. Federal Income Tax Considerations.”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Certain provisions in the notes and the indenture could make a third-party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third-party from acquiring us or removing incumbent management, including in a transaction that noteholders or holders of our common stock may view as favorable.</w:t>
      </w:r>
    </w:p>
    <w:p>
      <w:pPr>
        <w:spacing w:after="0" w:line="29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You may be unable to convert your notes before April 1, 2025, and the trading price of the notes could be less than the value of the consideration into which they could otherwise be converted.</w:t>
      </w:r>
    </w:p>
    <w:p>
      <w:pPr>
        <w:spacing w:after="0" w:line="68"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Before April 1, 2025, you may convert your notes only if specific conditions are met. If these conditions are not met, then you will not be able to convert your notes and receive the cash, shares of our common stock or combination of cash and shares, as applicable, into which the notes would otherwise be convertible. As a result, the notes may trade at prices that are less than the value of the consideration into which they would otherwise be convertible.</w:t>
      </w:r>
    </w:p>
    <w:p>
      <w:pPr>
        <w:spacing w:after="0" w:line="291"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Fluctuations in the trading price of our common stock after you elect to convert your notes may cause you to receive less valuable consideration than expected.</w:t>
      </w:r>
    </w:p>
    <w:p>
      <w:pPr>
        <w:spacing w:after="0" w:line="68"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7"/>
          <w:szCs w:val="17"/>
          <w:color w:val="auto"/>
        </w:rPr>
        <w:t>We will generally have the right to settle conversions in cash, shares of our common stock or a combination of cash and shares. If we elect to settle conversions solely in cash or in a combination of cash and shares, then the consideration due upon conversion will be determined based on the volume-weighted average price of our common stock during the related “observation period,” which is defined under the caption “Description of Notes—Definitions” and will consist of 20 “VWAP trading days.” Except in certain circumstances, the observation period will begin after the related conversion date. Accordingly, a considerable amount of time may lapse between the time you elect to convert your notes and the time you receive the consideration due upon conversion, and if the trading price of our common stock declines during this time, then you may receive less consideration, or consideration that is less valuable, than expected.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investment in the notes may be harmed if we redeem the notes.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will have the right to redeem notes, in whole or in part, in certain circumstances on or after July 5, 2023. See “Description of Notes</w:t>
      </w:r>
      <w:r>
        <w:rPr>
          <w:rFonts w:ascii="Arial" w:cs="Arial" w:eastAsia="Arial" w:hAnsi="Arial"/>
          <w:sz w:val="18"/>
          <w:szCs w:val="18"/>
          <w:i w:val="1"/>
          <w:iCs w:val="1"/>
          <w:color w:val="auto"/>
        </w:rPr>
        <w:t>—</w:t>
      </w:r>
      <w:r>
        <w:rPr>
          <w:rFonts w:ascii="Arial" w:cs="Arial" w:eastAsia="Arial" w:hAnsi="Arial"/>
          <w:sz w:val="18"/>
          <w:szCs w:val="18"/>
          <w:color w:val="auto"/>
        </w:rPr>
        <w:t>Optional Redemption.” If we redeem your notes, then you may not be entitled to benefit from potential future appreciation in the trading price of our common stock, and you may be unable to reinvest any proceeds from the redemption in comparable investments at favorable interest rates. In addition, a redemption of less than all of the outstanding notes will likely harm the liquidity of the market for the unredeemed notes following the redemption. Accordingly, if your notes are not redeemed in a partial redemption, then you may be unable to sell your notes at the times you desire or at favorable prices, if at all, and the trading price of your notes may decline.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notes. As a result, we will be required to record a greater amount of non-cash interest expense in all periods presented as a result of the amortization of the discounted carrying value of the notes to their face amount over the terms of the notes. We will report lower net income (or larger net losses) in our financial results because ASC 470-20 will require interest to include both the associated period’s amortization of the debt discount and the instrument’s non-convertible interest rate, which could adversely affect our reported or future financial results, the trading price of our common stock, and the trading price of the notes.</w:t>
      </w:r>
    </w:p>
    <w:p>
      <w:pPr>
        <w:spacing w:after="0" w:line="20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July 2019, the Financial Accounting Standards Board issued an exposure draft that proposes to change the accounting for such convertible debt instruments as described above. Under the exposure draft, an entity may no longer be required to separately account for the liability and equity components of convertible debt instruments. This could have the impact of reducing non-cash interest expense, and thereby increasing net income (or decreasing net losses). Additionally, as currently proposed, the treasury stock method for calculating earnings per share will no longer be allowed for convertible debt instruments whose principal amount may be settled using shares. Rather, the if-converted method may be required, which could decrease our diluted earnings per share. We cannot be sure that the proposed changes in this exposure draft will be adopted, or will be adopted in their current format. We also cannot be sure whether other changes may be made to the current accounting standards related to the notes, or otherwise, that could have an adverse impact on our financial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notes will not, in itself, confer any rights with respect to our common stock.</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Noteholders will generally not be entitled to any rights with respect to our common stock (including voting rights and rights to receive any dividends or other distributions on our common stock). However, noteholders will be subject to all changes affecting our common stock to the extent the trading price of the notes depends on the market price of our common stock and to the extent they receive shares of our common stock upon conversion of their notes. For example, if we propose an amendment to our charter documents that requires stockholder approval, then a noteholder will not, as such, be entitled to vote on the amendment, although the noteholder will be subject to any changes implemented by that amendment in the powers, preferences or special rights of our common stock.</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the Concurrent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This offering is not conditioned on the consummation of any other financing, including any of the Concurrent Transactions.</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Neither the completion of this offering nor any of the Concurrent Transactions is contingent on the completion of the other, so it is possible that one or more of this offering occurs and the Concurrent Common Stock Offering, the Concurrent Senior Secured Notes Offering and/or the Concurrent Term Loan Financing does not occur. This prospectus supplement is not an offer to sell or a solicitation of an offer to buy any securities being offered in the Concurrent Transactions. We cannot assure you that the Concurrent Common Stock Offering, the Concurrent Senior Secured Notes or the Concurrent Term Loan Financing will be completed on the terms described herein, on significantly different terms, or at all. See “Description of the Concurrent Transactions.”</w:t>
      </w:r>
    </w:p>
    <w:p>
      <w:pPr>
        <w:spacing w:after="0" w:line="29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Provisions in the indenture governing the senior secured notes or the credit agreement governing the new senior secured credit facilities could delay or prevent an otherwise beneficial takeover of us.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Certain provisions in the indenture governing the senior secured notes and the credit agreement governing the new senior secured credit facilities could make a third-party attempt to acquire us more difficult or expensive. For example, if a takeover constitutes a “change of control” (as defined in the indenture governing the senior secured notes or the credit agreement governing the new senior secured credit facilities), we will be required to make an offer to repurchase all outstanding senior secured notes or will be required to prepay the new senior secured credit facilities, as applicable. In this case, and in other cases, our obligations under the indenture the senior secured notes and the credit agreement governing the new senior secured credit facilities could increase the cost of acquiring us or otherwise discourage a third-party from acquiring us or removing incumbent management, including in a transaction that noteholders may view as favorable.</w:t>
      </w:r>
    </w:p>
    <w:p>
      <w:pPr>
        <w:spacing w:after="0" w:line="29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senior secured notes following a change of control, and our other indebtedness may limit our ability to repurchase the senior secured notes.</w:t>
      </w:r>
    </w:p>
    <w:p>
      <w:pPr>
        <w:spacing w:after="0" w:line="68" w:lineRule="exact"/>
        <w:rPr>
          <w:sz w:val="20"/>
          <w:szCs w:val="20"/>
          <w:color w:val="auto"/>
        </w:rPr>
      </w:pPr>
    </w:p>
    <w:p>
      <w:pPr>
        <w:ind w:left="120" w:right="80" w:firstLine="551"/>
        <w:spacing w:after="0" w:line="257" w:lineRule="auto"/>
        <w:rPr>
          <w:sz w:val="20"/>
          <w:szCs w:val="20"/>
          <w:color w:val="auto"/>
        </w:rPr>
      </w:pPr>
      <w:r>
        <w:rPr>
          <w:rFonts w:ascii="Arial" w:cs="Arial" w:eastAsia="Arial" w:hAnsi="Arial"/>
          <w:sz w:val="17"/>
          <w:szCs w:val="17"/>
          <w:color w:val="auto"/>
        </w:rPr>
        <w:t>Noteholders may require us to repurchase the senior secured notes following a change of control. We may not have enough available cash or be able to obtain financing at the time we are required to repurchase the senior secured notes. In addition, applicable law, regulatory authorities and the agreements governing our other indebtedness may restrict our ability to repurchase the senior secured notes. Our failure to repurchase senior secured notes will constitute a default under the indenture governing the senior secured notes.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We estimate that the net proceeds from this offering will be approximately $969.4 million (or approximately $1,115.0 million if the underwriters fully exercise their option to purchase additional notes), after deducting the underwriters’ discounts and estimated offering expenses.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estimate that the net proceeds to us from the Concurrent Common Stock Offering, if it is consummated as currently contemplated, will be approximately $966.8 million (or approximately $1,112.0 million if the underwriters in the Concurrent Common Stock Offering exercise their option to purchase additional shares of common stock in full), after deducting the underwriters’ discounts and commissions and our estimated offering expenses.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intend to use the net proceeds from this offering, together with the net proceeds from the Concurrent Common Stock Offering for general corporate purposes and to enhance our liquidity position. In addition, if the Concurrent Senior Secured Notes Offering and/or the Concurrent Term Loan Financing are consummated, a portion of the net proceeds therefrom will be used to refinance our Delayed Draw Term Loan Credit Facility (as defined herein) with an interest rate of LIBOR plus a margin of 2.00% and a maturity date of March 17, 2021, with any remaining proceeds from such issuance and borrowings for general corporate purposes and to enhance our liquidity position. The closing of this offering is not contingent upon the closing of any of the Concurrent Transactions.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and short-term investments and our capitalization as of March 31, 2020:</w:t>
      </w:r>
    </w:p>
    <w:p>
      <w:pPr>
        <w:spacing w:after="0" w:line="117"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880" w:right="260" w:hanging="224"/>
        <w:spacing w:after="0" w:line="23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as adjusted basis to give effect to (i) outstanding amounts under the Promissory Note as of June 1, 2020 issued in connection with the Payroll Support Program; (ii) the drawdown of an additional $2.8 billion of revolving loans under the 2013 Revolving Facility, the 2014 Revolving Facility and the April 2016 Revolving Facility in April and May 2020 and an amortization payment of $10.0 million made under the April 2016 Credit Facility in April 2020; (iii) the issuance and sale of $1,000.0 million aggregate principal amount of the notes we are offering, after deducting the underwriters’ discounts and commissions and our estimated offering expenses; and (iv) the Concurrent Common Stock Offering.</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This table should be read in conjunction with the other information included or incorporated by reference this prospectus supplement, including our consolidated financial statements and related notes. Because the completion of this offering is not contingent on the completion of the Concurrent Common Stock Offering, you should not assume that the Concurrent Common Stock Offering, as reflected in the as adjusted column in the table below, will take place.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2"/>
              <w:spacing w:after="0" w:line="143"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right="12"/>
              <w:spacing w:after="0" w:line="143" w:lineRule="exact"/>
              <w:rPr>
                <w:sz w:val="20"/>
                <w:szCs w:val="20"/>
                <w:color w:val="auto"/>
              </w:rPr>
            </w:pPr>
            <w:r>
              <w:rPr>
                <w:rFonts w:ascii="Arial" w:cs="Arial" w:eastAsia="Arial" w:hAnsi="Arial"/>
                <w:sz w:val="14"/>
                <w:szCs w:val="14"/>
                <w:b w:val="1"/>
                <w:bCs w:val="1"/>
                <w:color w:val="auto"/>
              </w:rPr>
              <w:t>(In millions, except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3,576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Enhanced equipment trust certificates (EETCs), fixed interest rates ranging from 3.00% to 8.39%,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averaging 4.03%, maturing from 2020 to 2032</w:t>
            </w:r>
          </w:p>
        </w:tc>
        <w:tc>
          <w:tcPr>
            <w:tcW w:w="3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11,712</w:t>
            </w:r>
          </w:p>
        </w:tc>
        <w:tc>
          <w:tcPr>
            <w:tcW w:w="4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02"/>
        </w:trPr>
        <w:tc>
          <w:tcPr>
            <w:tcW w:w="8840" w:type="dxa"/>
            <w:vAlign w:val="bottom"/>
          </w:tcPr>
          <w:p>
            <w:pPr>
              <w:ind w:left="36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1.87% to</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540"/>
              <w:spacing w:after="0" w:line="203" w:lineRule="exact"/>
              <w:rPr>
                <w:sz w:val="20"/>
                <w:szCs w:val="20"/>
                <w:color w:val="auto"/>
              </w:rPr>
            </w:pPr>
            <w:r>
              <w:rPr>
                <w:rFonts w:ascii="Arial" w:cs="Arial" w:eastAsia="Arial" w:hAnsi="Arial"/>
                <w:sz w:val="18"/>
                <w:szCs w:val="18"/>
                <w:color w:val="auto"/>
              </w:rPr>
              <w:t>7.31%, averaging 3.02%, maturing from 2020 to 2032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4,755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199"/>
        </w:trPr>
        <w:tc>
          <w:tcPr>
            <w:tcW w:w="88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Special facility revenue bonds, fixed interest rates ranging from 5.00% to 8.00%, maturing from 2020 to</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40" w:type="dxa"/>
            <w:vAlign w:val="bottom"/>
            <w:shd w:val="clear" w:color="auto" w:fill="CCEEFF"/>
          </w:tcPr>
          <w:p>
            <w:pPr>
              <w:ind w:left="540"/>
              <w:spacing w:after="0" w:line="206" w:lineRule="exact"/>
              <w:rPr>
                <w:sz w:val="20"/>
                <w:szCs w:val="20"/>
                <w:color w:val="auto"/>
              </w:rPr>
            </w:pPr>
            <w:r>
              <w:rPr>
                <w:rFonts w:ascii="Arial" w:cs="Arial" w:eastAsia="Arial" w:hAnsi="Arial"/>
                <w:sz w:val="18"/>
                <w:szCs w:val="18"/>
                <w:color w:val="auto"/>
              </w:rPr>
              <w:t>2031</w:t>
            </w:r>
            <w:r>
              <w:rPr>
                <w:rFonts w:ascii="Arial" w:cs="Arial" w:eastAsia="Arial" w:hAnsi="Arial"/>
                <w:sz w:val="15"/>
                <w:szCs w:val="15"/>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2013 Credit Facilities, variable interest rate of 2.71%, installments through 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1,807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2014 Credit Facilities, variable interest rate of 2.69%, installments through 2027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April 2016 Credit Facilities, variable interest rate of 2.94%, installments through 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December 2016 Credit Facilities, variable interest rate of 2.70%, installments through 2023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199"/>
        </w:trPr>
        <w:tc>
          <w:tcPr>
            <w:tcW w:w="8840" w:type="dxa"/>
            <w:vAlign w:val="bottom"/>
          </w:tcPr>
          <w:p>
            <w:pPr>
              <w:ind w:left="360"/>
              <w:spacing w:after="0" w:line="199" w:lineRule="exact"/>
              <w:rPr>
                <w:sz w:val="20"/>
                <w:szCs w:val="20"/>
                <w:color w:val="auto"/>
              </w:rPr>
            </w:pPr>
            <w:r>
              <w:rPr>
                <w:rFonts w:ascii="Arial" w:cs="Arial" w:eastAsia="Arial" w:hAnsi="Arial"/>
                <w:sz w:val="18"/>
                <w:szCs w:val="18"/>
                <w:color w:val="auto"/>
              </w:rPr>
              <w:t>Delayed Draw Term Loan Credit Facility, variable interest rate of 3.00%, interest only payments until due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40" w:type="dxa"/>
            <w:vAlign w:val="bottom"/>
          </w:tcPr>
          <w:p>
            <w:pPr>
              <w:ind w:left="540"/>
              <w:spacing w:after="0" w:line="206" w:lineRule="exact"/>
              <w:rPr>
                <w:sz w:val="20"/>
                <w:szCs w:val="20"/>
                <w:color w:val="auto"/>
              </w:rPr>
            </w:pPr>
            <w:r>
              <w:rPr>
                <w:rFonts w:ascii="Arial" w:cs="Arial" w:eastAsia="Arial" w:hAnsi="Arial"/>
                <w:sz w:val="18"/>
                <w:szCs w:val="18"/>
                <w:color w:val="auto"/>
              </w:rPr>
              <w:t>March 2021</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1,000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2013 Revolving Facility</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2014 Revolving Facility</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April 2016 Revolving Facility</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secured debt and finance lease obligations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24,065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26,898</w:t>
            </w:r>
          </w:p>
        </w:tc>
        <w:tc>
          <w:tcPr>
            <w:tcW w:w="0" w:type="dxa"/>
            <w:vAlign w:val="bottom"/>
          </w:tcPr>
          <w:p>
            <w:pPr>
              <w:spacing w:after="0"/>
              <w:rPr>
                <w:sz w:val="1"/>
                <w:szCs w:val="1"/>
                <w:color w:val="auto"/>
              </w:rPr>
            </w:pPr>
          </w:p>
        </w:tc>
      </w:tr>
      <w:tr>
        <w:trPr>
          <w:trHeight w:val="365"/>
        </w:trPr>
        <w:tc>
          <w:tcPr>
            <w:tcW w:w="8840" w:type="dxa"/>
            <w:vAlign w:val="bottom"/>
          </w:tcPr>
          <w:p>
            <w:pPr>
              <w:ind w:left="5320"/>
              <w:spacing w:after="0"/>
              <w:rPr>
                <w:sz w:val="20"/>
                <w:szCs w:val="20"/>
                <w:color w:val="auto"/>
              </w:rPr>
            </w:pPr>
            <w:r>
              <w:rPr>
                <w:rFonts w:ascii="Arial" w:cs="Arial" w:eastAsia="Arial" w:hAnsi="Arial"/>
                <w:sz w:val="18"/>
                <w:szCs w:val="18"/>
                <w:color w:val="auto"/>
              </w:rPr>
              <w:t>S-54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rPr>
              <w:t>As of</w:t>
            </w:r>
          </w:p>
        </w:tc>
      </w:tr>
      <w:tr>
        <w:trPr>
          <w:trHeight w:val="175"/>
        </w:trPr>
        <w:tc>
          <w:tcPr>
            <w:tcW w:w="9000" w:type="dxa"/>
            <w:vAlign w:val="bottom"/>
          </w:tcPr>
          <w:p>
            <w:pPr>
              <w:spacing w:after="0"/>
              <w:rPr>
                <w:sz w:val="15"/>
                <w:szCs w:val="15"/>
                <w:color w:val="auto"/>
              </w:rPr>
            </w:pPr>
          </w:p>
        </w:tc>
        <w:tc>
          <w:tcPr>
            <w:tcW w:w="2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March 31, 2020</w:t>
            </w:r>
          </w:p>
        </w:tc>
      </w:tr>
      <w:tr>
        <w:trPr>
          <w:trHeight w:val="142"/>
        </w:trPr>
        <w:tc>
          <w:tcPr>
            <w:tcW w:w="90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7"/>
              <w:spacing w:after="0" w:line="143"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2"/>
                <w:szCs w:val="12"/>
                <w:color w:val="auto"/>
              </w:rPr>
            </w:pPr>
          </w:p>
        </w:tc>
      </w:tr>
      <w:tr>
        <w:trPr>
          <w:trHeight w:val="175"/>
        </w:trPr>
        <w:tc>
          <w:tcPr>
            <w:tcW w:w="9000" w:type="dxa"/>
            <w:vAlign w:val="bottom"/>
          </w:tcPr>
          <w:p>
            <w:pPr>
              <w:spacing w:after="0"/>
              <w:rPr>
                <w:sz w:val="15"/>
                <w:szCs w:val="15"/>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adjusted</w:t>
            </w:r>
          </w:p>
        </w:tc>
      </w:tr>
      <w:tr>
        <w:trPr>
          <w:trHeight w:val="142"/>
        </w:trPr>
        <w:tc>
          <w:tcPr>
            <w:tcW w:w="9000" w:type="dxa"/>
            <w:vAlign w:val="bottom"/>
          </w:tcPr>
          <w:p>
            <w:pPr>
              <w:spacing w:after="0"/>
              <w:rPr>
                <w:sz w:val="12"/>
                <w:szCs w:val="12"/>
                <w:color w:val="auto"/>
              </w:rPr>
            </w:pPr>
          </w:p>
        </w:tc>
        <w:tc>
          <w:tcPr>
            <w:tcW w:w="190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(In millions, except share</w:t>
            </w:r>
          </w:p>
        </w:tc>
        <w:tc>
          <w:tcPr>
            <w:tcW w:w="120" w:type="dxa"/>
            <w:vAlign w:val="bottom"/>
          </w:tcPr>
          <w:p>
            <w:pPr>
              <w:spacing w:after="0"/>
              <w:rPr>
                <w:sz w:val="12"/>
                <w:szCs w:val="12"/>
                <w:color w:val="auto"/>
              </w:rPr>
            </w:pPr>
          </w:p>
        </w:tc>
      </w:tr>
      <w:tr>
        <w:trPr>
          <w:trHeight w:val="162"/>
        </w:trPr>
        <w:tc>
          <w:tcPr>
            <w:tcW w:w="9000" w:type="dxa"/>
            <w:vAlign w:val="bottom"/>
          </w:tcPr>
          <w:p>
            <w:pPr>
              <w:spacing w:after="0"/>
              <w:rPr>
                <w:sz w:val="14"/>
                <w:szCs w:val="14"/>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and per share data)</w:t>
            </w:r>
          </w:p>
        </w:tc>
      </w:tr>
      <w:tr>
        <w:trPr>
          <w:trHeight w:val="189"/>
        </w:trPr>
        <w:tc>
          <w:tcPr>
            <w:tcW w:w="9000" w:type="dxa"/>
            <w:vAlign w:val="bottom"/>
          </w:tcPr>
          <w:p>
            <w:pPr>
              <w:spacing w:after="0"/>
              <w:rPr>
                <w:sz w:val="16"/>
                <w:szCs w:val="16"/>
                <w:color w:val="auto"/>
              </w:rPr>
            </w:pPr>
          </w:p>
        </w:tc>
        <w:tc>
          <w:tcPr>
            <w:tcW w:w="2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9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6.50% convertible senior notes due 2025 we are offering</w:t>
            </w:r>
            <w:r>
              <w:rPr>
                <w:rFonts w:ascii="Arial" w:cs="Arial" w:eastAsia="Arial" w:hAnsi="Arial"/>
                <w:sz w:val="15"/>
                <w:szCs w:val="15"/>
                <w:color w:val="auto"/>
              </w:rPr>
              <w:t>(5)</w:t>
            </w:r>
          </w:p>
        </w:tc>
        <w:tc>
          <w:tcPr>
            <w:tcW w:w="96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9000" w:type="dxa"/>
            <w:vAlign w:val="bottom"/>
          </w:tcPr>
          <w:p>
            <w:pPr>
              <w:ind w:left="360"/>
              <w:spacing w:after="0" w:line="202" w:lineRule="exact"/>
              <w:rPr>
                <w:sz w:val="20"/>
                <w:szCs w:val="20"/>
                <w:color w:val="auto"/>
              </w:rPr>
            </w:pPr>
            <w:r>
              <w:rPr>
                <w:rFonts w:ascii="Arial" w:cs="Arial" w:eastAsia="Arial" w:hAnsi="Arial"/>
                <w:sz w:val="18"/>
                <w:szCs w:val="18"/>
                <w:color w:val="auto"/>
              </w:rPr>
              <w:t>5.000% senior notes, interest only payments until due in June 2022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7"/>
                <w:szCs w:val="17"/>
                <w:color w:val="auto"/>
              </w:rPr>
            </w:pPr>
          </w:p>
        </w:tc>
        <w:tc>
          <w:tcPr>
            <w:tcW w:w="10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9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3.75% senior notes, interest only payments until due in March 2025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500</w:t>
            </w:r>
          </w:p>
        </w:tc>
      </w:tr>
      <w:tr>
        <w:trPr>
          <w:trHeight w:val="209"/>
        </w:trPr>
        <w:tc>
          <w:tcPr>
            <w:tcW w:w="9000" w:type="dxa"/>
            <w:vAlign w:val="bottom"/>
          </w:tcPr>
          <w:p>
            <w:pPr>
              <w:ind w:left="360"/>
              <w:spacing w:after="0" w:line="202" w:lineRule="exact"/>
              <w:rPr>
                <w:sz w:val="20"/>
                <w:szCs w:val="20"/>
                <w:color w:val="auto"/>
              </w:rPr>
            </w:pPr>
            <w:r>
              <w:rPr>
                <w:rFonts w:ascii="Arial" w:cs="Arial" w:eastAsia="Arial" w:hAnsi="Arial"/>
                <w:sz w:val="18"/>
                <w:szCs w:val="18"/>
                <w:color w:val="auto"/>
              </w:rPr>
              <w:t>Payroll Support Program Promissory Note</w:t>
            </w:r>
            <w:r>
              <w:rPr>
                <w:rFonts w:ascii="Arial" w:cs="Arial" w:eastAsia="Arial" w:hAnsi="Arial"/>
                <w:sz w:val="15"/>
                <w:szCs w:val="15"/>
                <w:color w:val="auto"/>
              </w:rPr>
              <w:t>(4)</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1,191</w:t>
            </w:r>
          </w:p>
        </w:tc>
        <w:tc>
          <w:tcPr>
            <w:tcW w:w="120" w:type="dxa"/>
            <w:vAlign w:val="bottom"/>
          </w:tcPr>
          <w:p>
            <w:pPr>
              <w:spacing w:after="0"/>
              <w:rPr>
                <w:sz w:val="18"/>
                <w:szCs w:val="18"/>
                <w:color w:val="auto"/>
              </w:rPr>
            </w:pP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unsecured debt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7"/>
                <w:szCs w:val="17"/>
                <w:color w:val="auto"/>
              </w:rPr>
            </w:pPr>
          </w:p>
        </w:tc>
      </w:tr>
      <w:tr>
        <w:trPr>
          <w:trHeight w:val="209"/>
        </w:trPr>
        <w:tc>
          <w:tcPr>
            <w:tcW w:w="9000" w:type="dxa"/>
            <w:vAlign w:val="bottom"/>
          </w:tcPr>
          <w:p>
            <w:pPr>
              <w:spacing w:after="0"/>
              <w:rPr>
                <w:sz w:val="20"/>
                <w:szCs w:val="20"/>
                <w:color w:val="auto"/>
              </w:rPr>
            </w:pPr>
            <w:r>
              <w:rPr>
                <w:rFonts w:ascii="Arial" w:cs="Arial" w:eastAsia="Arial" w:hAnsi="Arial"/>
                <w:sz w:val="18"/>
                <w:szCs w:val="18"/>
                <w:b w:val="1"/>
                <w:bCs w:val="1"/>
                <w:color w:val="auto"/>
              </w:rPr>
              <w:t>Total debt and finance lease obligations</w:t>
            </w:r>
          </w:p>
        </w:tc>
        <w:tc>
          <w:tcPr>
            <w:tcW w:w="760" w:type="dxa"/>
            <w:vAlign w:val="bottom"/>
          </w:tcPr>
          <w:p>
            <w:pPr>
              <w:jc w:val="right"/>
              <w:spacing w:after="0"/>
              <w:rPr>
                <w:sz w:val="20"/>
                <w:szCs w:val="20"/>
                <w:color w:val="auto"/>
              </w:rPr>
            </w:pPr>
            <w:r>
              <w:rPr>
                <w:rFonts w:ascii="Arial" w:cs="Arial" w:eastAsia="Arial" w:hAnsi="Arial"/>
                <w:sz w:val="18"/>
                <w:szCs w:val="18"/>
                <w:color w:val="auto"/>
              </w:rPr>
              <w:t>25,315</w:t>
            </w:r>
          </w:p>
        </w:tc>
        <w:tc>
          <w:tcPr>
            <w:tcW w:w="2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30,339</w:t>
            </w: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lease liabilities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8,991</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8,991</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422,886,533 shares issued and</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outstanding, actual, 1,750,000,000 shares authorized, 496,986,533 shares issued and outstanding as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adjusted</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w:t>
            </w:r>
          </w:p>
        </w:tc>
      </w:tr>
      <w:tr>
        <w:trPr>
          <w:trHeight w:val="203"/>
        </w:trPr>
        <w:tc>
          <w:tcPr>
            <w:tcW w:w="90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3,861</w:t>
            </w:r>
          </w:p>
        </w:tc>
        <w:tc>
          <w:tcPr>
            <w:tcW w:w="200" w:type="dxa"/>
            <w:vAlign w:val="bottom"/>
          </w:tcPr>
          <w:p>
            <w:pPr>
              <w:spacing w:after="0"/>
              <w:rPr>
                <w:sz w:val="17"/>
                <w:szCs w:val="17"/>
                <w:color w:val="auto"/>
              </w:rPr>
            </w:pPr>
          </w:p>
        </w:tc>
        <w:tc>
          <w:tcPr>
            <w:tcW w:w="10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4,827</w:t>
            </w:r>
          </w:p>
        </w:tc>
      </w:tr>
      <w:tr>
        <w:trPr>
          <w:trHeight w:val="203"/>
        </w:trPr>
        <w:tc>
          <w:tcPr>
            <w:tcW w:w="9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9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(6,480)</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(6,480)</w:t>
            </w:r>
          </w:p>
        </w:tc>
      </w:tr>
      <w:tr>
        <w:trPr>
          <w:trHeight w:val="203"/>
        </w:trPr>
        <w:tc>
          <w:tcPr>
            <w:tcW w:w="9000" w:type="dxa"/>
            <w:vAlign w:val="bottom"/>
          </w:tcPr>
          <w:p>
            <w:pPr>
              <w:ind w:left="360"/>
              <w:spacing w:after="0" w:line="202" w:lineRule="exact"/>
              <w:rPr>
                <w:sz w:val="20"/>
                <w:szCs w:val="20"/>
                <w:color w:val="auto"/>
              </w:rPr>
            </w:pPr>
            <w:r>
              <w:rPr>
                <w:rFonts w:ascii="Arial" w:cs="Arial" w:eastAsia="Arial" w:hAnsi="Arial"/>
                <w:sz w:val="18"/>
                <w:szCs w:val="18"/>
                <w:color w:val="auto"/>
              </w:rPr>
              <w:t>Retained deficit</w:t>
            </w:r>
          </w:p>
        </w:tc>
        <w:tc>
          <w:tcPr>
            <w:tcW w:w="9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(21)</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7"/>
        </w:trPr>
        <w:tc>
          <w:tcPr>
            <w:tcW w:w="9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deficit</w:t>
            </w:r>
            <w:r>
              <w:rPr>
                <w:rFonts w:ascii="Arial" w:cs="Arial" w:eastAsia="Arial" w:hAnsi="Arial"/>
                <w:sz w:val="15"/>
                <w:szCs w:val="15"/>
                <w:b w:val="1"/>
                <w:bCs w:val="1"/>
                <w:color w:val="auto"/>
              </w:rPr>
              <w:t>(5)</w:t>
            </w:r>
          </w:p>
        </w:tc>
        <w:tc>
          <w:tcPr>
            <w:tcW w:w="9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(2,636)</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(1,669)</w:t>
            </w:r>
          </w:p>
        </w:tc>
      </w:tr>
      <w:tr>
        <w:trPr>
          <w:trHeight w:val="209"/>
        </w:trPr>
        <w:tc>
          <w:tcPr>
            <w:tcW w:w="9000" w:type="dxa"/>
            <w:vAlign w:val="bottom"/>
          </w:tcPr>
          <w:p>
            <w:pPr>
              <w:spacing w:after="0"/>
              <w:rPr>
                <w:sz w:val="20"/>
                <w:szCs w:val="20"/>
                <w:color w:val="auto"/>
              </w:rPr>
            </w:pPr>
            <w:r>
              <w:rPr>
                <w:rFonts w:ascii="Arial" w:cs="Arial" w:eastAsia="Arial" w:hAnsi="Arial"/>
                <w:sz w:val="18"/>
                <w:szCs w:val="18"/>
                <w:color w:val="auto"/>
              </w:rPr>
              <w:t>Total capitalization</w:t>
            </w:r>
            <w:r>
              <w:rPr>
                <w:rFonts w:ascii="Arial" w:cs="Arial" w:eastAsia="Arial" w:hAnsi="Arial"/>
                <w:sz w:val="15"/>
                <w:szCs w:val="15"/>
                <w:color w:val="auto"/>
              </w:rPr>
              <w:t>(5)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37,661</w:t>
            </w:r>
          </w:p>
        </w:tc>
        <w:tc>
          <w:tcPr>
            <w:tcW w:w="12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80" w:hanging="544"/>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principal amount outstanding, without deduction for debt discounts or issuance costs. The “As Adjusted” column does not reflect (i) approximately $360 million of bonds issued pursuant to the JFK Offering (as defined herein) (see “Description of Other Indebtedness—Special Facilities Revenue Bonds”), (ii) the approximately $4.75 billion secured loan through the loan program under the CARES Act we are in the process of obtaining and warrants to purchase approximately 38 million shares of common stock of the Company (assuming a secured loan of approximately $4.75 billion) at an exercise price of $12.51 per share in connection therewith (see “Summary—Recent Developments—CARES Act”), (iii) the Concurrent Senior Secured Notes Offering or (iv) the Concurrent Term Loan Financing.</w:t>
      </w:r>
    </w:p>
    <w:p>
      <w:pPr>
        <w:spacing w:after="0" w:line="4" w:lineRule="exact"/>
        <w:rPr>
          <w:rFonts w:ascii="Arial" w:cs="Arial" w:eastAsia="Arial" w:hAnsi="Arial"/>
          <w:sz w:val="18"/>
          <w:szCs w:val="18"/>
          <w:color w:val="auto"/>
        </w:rPr>
      </w:pPr>
    </w:p>
    <w:p>
      <w:pPr>
        <w:ind w:left="660" w:right="160" w:hanging="544"/>
        <w:spacing w:after="0" w:line="24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March 31, 2020, we had available and undrawn $3.2 billion of revolving loans under the revolving credit facilities of the 2013 Credit Facilities, the 2014 Credit Facilities, the April 2016 Credit Facilities and the short-term revolving facility we entered into in December 2019. In April and May 2020, American borrowed $750 million under the 2013 Revolving Facility, $1.6 billion under the 2014 Revolving Facility and $450 million under the April 2016 Revolving Facility. Following the April and May 2020 draws, we had no remaining borrowing capacity available under the 2013 Revolving Facility, the 2014 Revolving Facility and the April 2016 Revolving Facility. For more information regarding the 2013 Credit Facilities, the 2014 Credit Facilities, the April 2016 Credit Facilities, the December 2016 Credit Facilities and the short-term revolving facility we entered into in December 2019 (of which $400.0 million of available capacity remains undrawn as of the date hereof), see “Description of Other Indebtedness” elsewhere in this prospectus supplement, as well as (i) our Consolidated Financial Statements, Part II, Item 8A in our Annual Report on Form</w:t>
      </w:r>
    </w:p>
    <w:p>
      <w:pPr>
        <w:spacing w:after="0" w:line="4" w:lineRule="exact"/>
        <w:rPr>
          <w:rFonts w:ascii="Arial" w:cs="Arial" w:eastAsia="Arial" w:hAnsi="Arial"/>
          <w:sz w:val="17"/>
          <w:szCs w:val="17"/>
          <w:color w:val="auto"/>
        </w:rPr>
      </w:pPr>
    </w:p>
    <w:p>
      <w:pPr>
        <w:ind w:left="660" w:right="40"/>
        <w:spacing w:after="0"/>
        <w:rPr>
          <w:rFonts w:ascii="Arial" w:cs="Arial" w:eastAsia="Arial" w:hAnsi="Arial"/>
          <w:sz w:val="17"/>
          <w:szCs w:val="17"/>
          <w:color w:val="auto"/>
        </w:rPr>
      </w:pPr>
      <w:r>
        <w:rPr>
          <w:rFonts w:ascii="Arial" w:cs="Arial" w:eastAsia="Arial" w:hAnsi="Arial"/>
          <w:sz w:val="18"/>
          <w:szCs w:val="18"/>
          <w:color w:val="auto"/>
        </w:rPr>
        <w:t>10-K for the year ended December 31, 2019 and (ii) Note 6. Debt and Note 14. Subsequent Events to our Condensed Consolidated Financial Statements in Part I, Item 1A in our Quarterly Report on Form 10-Q for the quarterly period ended March 31, 2020, in each case incorporated by reference into this prospectus supplement.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2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consummation of Concurrent Senior Secured Notes Offering and/or the Concurrent Term Loan Financing, the Delayed Draw Term Loan Credit Agreement will be repaid in full and terminated.</w:t>
      </w:r>
    </w:p>
    <w:p>
      <w:pPr>
        <w:spacing w:after="0" w:line="1" w:lineRule="exact"/>
        <w:rPr>
          <w:rFonts w:ascii="Arial" w:cs="Arial" w:eastAsia="Arial" w:hAnsi="Arial"/>
          <w:sz w:val="18"/>
          <w:szCs w:val="18"/>
          <w:color w:val="auto"/>
        </w:rPr>
      </w:pPr>
    </w:p>
    <w:p>
      <w:pPr>
        <w:ind w:left="660" w:right="28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1, 2020, we had received approximately $4.1 billion, or 70%, of $5.8 billion in expected proceeds from the Treasury through the Payroll Support Program of the CARES Act, for which we have provided consideration in the form of a $1.2 billion unsecured promissory note. The remainder of the funds are expected to be received and the aggregate principal amount of the unsecured promissory note is expected to be increased by $523 million, in two installments in June and July 2020. We expect to issue 13.7 million warrants under the Payroll Support Program upon our receipt of the full $5.8 billion of payroll assistance to be provided by the Treasury. The issuance of these warrants is not reflected in the as adjusted column.</w:t>
      </w:r>
    </w:p>
    <w:p>
      <w:pPr>
        <w:spacing w:after="0" w:line="4" w:lineRule="exact"/>
        <w:rPr>
          <w:rFonts w:ascii="Arial" w:cs="Arial" w:eastAsia="Arial" w:hAnsi="Arial"/>
          <w:sz w:val="18"/>
          <w:szCs w:val="18"/>
          <w:color w:val="auto"/>
        </w:rPr>
      </w:pPr>
    </w:p>
    <w:p>
      <w:pPr>
        <w:ind w:left="660" w:hanging="544"/>
        <w:spacing w:after="0" w:line="23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shown in the table above for the notes we are offering represent their principal amount. However, applicable accounting standards require separate accounting for the debt and equity components of convertible notes that, like the notes we are offering, can be settled partially or fully in cash upon conversion. We expect the initial carrying amount of the debt component of the notes, which will be reflected as a liability on our balance sheet, to be the fair value of a similar debt instrument that does not have a conversion feature (that is, the present value of the principal and interest payments on the notes, discounted using an interest rate equal to our cost of capital for straight, unconvertible debt), net of issuance costs attributable to the debt component. The excess of the net proceeds of the notes over this initial liability carrying amount will be deemed to be the equity component of the notes. We expect to record the amount of the equity component as an increase to additional paid-in capital in the stockholders’ equity section of our balance sheet and as a debt discount on the notes for accounting purposes. This debt discount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 Future accounting standards may change the manner in which we reflect the notes in our financial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During 2014, our Board of Directors commenced declaring quarterly cash dividends as part of our capital deployment program. In January 2020, our Board of Directors declared a cash dividend of $ 0.10 per share for stockholders of record as of February 5, 2020 and paid such dividend on February 19, 2020, totaling $ 43.0 million. As of March 31, 2020, we have suspended our capital deployment program, including the payment of future dividends. In connection with our receipt of payroll support under the CARES Act, we agreed to not make dividend payments in respect of our stock through September 30, 2021. If we draw a secured loan from the Treasury under the CARES Act, as we plan to do, the foregoing dividend restriction will continue in effect until one year after such loan is paid in full.</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 In addition, our credit facilities and other debt obligations impose restrictions on the amount we could pay in annual cash dividends, including certain restrictions on the amount of additional indebtedness and requirements to maintain a certain fixed charge coverage ratio under certain circumstance. These restrictions do not materially limit our ability to pay future dividends.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NOTES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will issue the notes under an indenture (the “base indenture”), to be dated as of the initial closing date of this offering, between us and Wilmington Trust, National Association, as trustee (the “trustee”), as supplemented by a supplemental indenture (the base indenture, as so supplemented, the “indenture”), to be dated as of the initial closing date of this offering, among us, the guarantor and the trustee.</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following is a summary of certain provisions of the notes, the guarantee and the indenture. It is only a summary and is not complete. We qualify this summary by referring you to the indenture and the notes, because they, and not this summary, define your rights as a holder of the notes and the guarantee. We will provide you with a copy of the indenture, which includes the form of the notes and contains the guarantee, as provided under the caption “Where You Can Find Additional Information.” In addition, the indenture and the notes will be deemed to include certain terms that are made a part of the indenture and the notes pursuant to the Trust Indenture Act of 1939, as amended (the “Trust Indenture Act”).</w:t>
      </w:r>
    </w:p>
    <w:p>
      <w:pPr>
        <w:spacing w:after="0" w:line="205"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This “Description of Notes” section supplements and, to the extent inconsistent therewith, supersedes the information in the accompanying prospectus under the caption “Description of Debt Securities.”</w:t>
      </w:r>
    </w:p>
    <w:p>
      <w:pPr>
        <w:spacing w:after="0" w:line="197"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Certain terms used in this summary are defined below under the caption “—Definitions.” Certain other terms used in this summary are defined in the indenture.</w:t>
      </w:r>
    </w:p>
    <w:p>
      <w:pPr>
        <w:spacing w:after="0" w:line="197"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References to “we,” “us” and “our” in this section refer to American Airlines Group Inc. only and not to any of its subsidiaries. References to the “guarantor” in this section refer to American Airlines, Inc. only and not to any of its subsidiaries. References to any “note” in this section refer to any authorized denomination of a note, unless the context requires otherwise.</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Generally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w:t>
      </w:r>
    </w:p>
    <w:p>
      <w:pPr>
        <w:spacing w:after="0" w:line="117"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our senior, unsecured obligations;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fully and unconditionally guaranteed, on a senior, unsecured basis, by American Airlines, Inc.;</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initially be limited to an aggregate principal amount of $1,000,000,000 (or $1,150,000,000, if the underwriters fully exercise their option to purchase additional notes);</w:t>
      </w:r>
    </w:p>
    <w:p>
      <w:pPr>
        <w:spacing w:after="0" w:line="102"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bear interest from, and including, June 25, 2020, at an annual rate of 6.50%, payable semi-annually in arrears on January 1 and July 1 of each year, beginning on January 1, 2021;</w:t>
      </w:r>
    </w:p>
    <w:p>
      <w:pPr>
        <w:spacing w:after="0" w:line="102"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bear special interest in the circumstances described below under the caption “—Events of Default—Special Interest as Sole Remedy for Certain Reporting Defaults”;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mature on July 1, 2025, unless earlier repurchased, redeemed or converted;</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redeemable, in whole or in part, at our option, at any time, and from time to time, on or after July 5, 2023 and on or before the 20th scheduled trading day immediately before the maturity date at a cash redemption price equal to the principal amount of the notes to be redeemed, plus accrued and unpaid interest to, but excluding, the redemption date (subject to the right of noteholders on a regular record date to receive the related interest payment), under the circumstances described below under the caption “—Optional Redemption”;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hanging="224"/>
        <w:spacing w:after="0" w:line="23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repurchase by us at the noteholders’ option if a “fundamental change” (as defined below under the caption “— Definitions”) occurs, at a cash repurchase price equal to the principal amount of the notes to be repurchased, plus accrued and unpaid interest to, but excluding, the fundamental change repurchase date (subject to the right of noteholders on a regular record date to receive the related interest payment), as described, and subject to the limited exception set forth, below under the caption “—Fundamental Change Permits Noteholders to Require Us to Repurchase Notes”;</w:t>
      </w:r>
    </w:p>
    <w:p>
      <w:pPr>
        <w:spacing w:after="0" w:line="107" w:lineRule="exact"/>
        <w:rPr>
          <w:rFonts w:ascii="Arial" w:cs="Arial" w:eastAsia="Arial" w:hAnsi="Arial"/>
          <w:sz w:val="18"/>
          <w:szCs w:val="18"/>
          <w:color w:val="auto"/>
        </w:rPr>
      </w:pPr>
    </w:p>
    <w:p>
      <w:pPr>
        <w:ind w:left="880" w:right="80" w:hanging="224"/>
        <w:spacing w:after="0" w:line="23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convertible, at the noteholders’ option, subject to the satisfaction of certain conditions and during the periods described herein, into cash, shares of our common stock or a combination of cash and shares of our common stock (together with cash in lieu of any fractional share, if applicable), at our election, based on an initial conversion rate of 61.7284 shares per $1,000 principal amount of notes (which represents an initial conversion price of approximately $16.20 per share), under the conditions, and subject to the adjustments, described below under the caption “—Conversion Rights”;</w:t>
      </w:r>
    </w:p>
    <w:p>
      <w:pPr>
        <w:spacing w:after="0" w:line="10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issued in principal amount minimum denominations of $1,000 or any integral multiple of $1,000 in excess thereof, which we refer to as an “authorized denomination”; and</w:t>
      </w:r>
    </w:p>
    <w:p>
      <w:pPr>
        <w:spacing w:after="0" w:line="102"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initially be represented by one or more registered notes in global form, but may, in certain circumstances, be exchanged for notes in definitive form, as described below under the caption “—Book Entry, Settlement and Clearance.”</w:t>
      </w:r>
    </w:p>
    <w:p>
      <w:pPr>
        <w:spacing w:after="0" w:line="19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indenture will not contain any financial covenants and will not limit us or our subsidiaries from incurring additional indebtedness, paying dividends or issuing or repurchasing any securities. Except to the extent described below under the captions “— Conversion Rights—Increase in Conversion Rate in Connection with a Make-Whole Fundamental Change,” “—Fundamental Change Permits Noteholders to Require Us to Repurchase Notes” and “—Consolidation, Merger and Asset Sale,” the indenture will not contain any provisions designed to protect noteholders upon a highly leveraged transaction involving us or the guarantor or a decline in our or the guarantor’s credit rating as a result of a recapitalization, takeover, highly leveraged transaction or other restructuring involving us or the guarantor.</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Without the consent of any noteholder, we may issue additional notes under the indenture with the same terms as the notes we are offering (except for certain differences, such as the date as of which interest begins to accrue and the first interest payment date for such additional notes). However, such additional notes must be identified by a separate CUSIP number or by no CUSIP number if they are not fungible, for federal income tax or federal securities laws purposes, with other notes we issue under the indenture.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intend to list the notes on any securities exchange or include them in any automated inter-dealer quotation system.</w:t>
      </w:r>
    </w:p>
    <w:p>
      <w:pPr>
        <w:spacing w:after="0" w:line="212"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Absent manifest error, a person in whose name a note is registered on the registrar’s books will be considered to be the holder of that note for all purposes, and only registered noteholders (which, in the case of notes held through DTC, will initially be DTC’s nominee, Cede &amp; Co.) will have rights under the indenture as noteholders.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Subject to applicable law, we or our subsidiaries may directly or indirectly repurchase notes in the open market or otherwise, whether through private or public tender or exchange offers, cash-settled swaps or other cash-settled derivatives. Any notes that we or our subsidiaries have purchased or otherwise acquired will be deemed to remain outstanding until such time as we deliver them to the trustee for cancellation. However, subject to the terms of the indenture, notes that we or any of our affiliates own will be deemed not to be outstanding for purposes of determining whether the noteholders have concurred in any direction, waiver or consent.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Payments on the Notes</w:t>
      </w:r>
    </w:p>
    <w:p>
      <w:pPr>
        <w:spacing w:after="0" w:line="234" w:lineRule="exact"/>
        <w:rPr>
          <w:sz w:val="20"/>
          <w:szCs w:val="20"/>
          <w:color w:val="auto"/>
        </w:rPr>
      </w:pPr>
    </w:p>
    <w:p>
      <w:pPr>
        <w:ind w:left="120" w:right="440" w:firstLine="551"/>
        <w:spacing w:after="0" w:line="274" w:lineRule="auto"/>
        <w:rPr>
          <w:sz w:val="20"/>
          <w:szCs w:val="20"/>
          <w:color w:val="auto"/>
        </w:rPr>
      </w:pPr>
      <w:r>
        <w:rPr>
          <w:rFonts w:ascii="Arial" w:cs="Arial" w:eastAsia="Arial" w:hAnsi="Arial"/>
          <w:sz w:val="17"/>
          <w:szCs w:val="17"/>
          <w:color w:val="auto"/>
        </w:rPr>
        <w:t>We will pay (or cause the paying agent to pay) the principal of, and interest on, any global note by wire transfer of immediately available funds. We will pay (or cause the paying agent to pay) the principal of, and interest on, any physical note as follows:</w:t>
      </w:r>
    </w:p>
    <w:p>
      <w:pPr>
        <w:spacing w:after="0" w:line="80" w:lineRule="exact"/>
        <w:rPr>
          <w:sz w:val="20"/>
          <w:szCs w:val="20"/>
          <w:color w:val="auto"/>
        </w:rPr>
      </w:pPr>
    </w:p>
    <w:p>
      <w:pPr>
        <w:ind w:left="880" w:right="280" w:hanging="224"/>
        <w:spacing w:after="0" w:line="23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principal amount of such note is at least $5.0 million (or such lower amount as we may choose in our sole and absolute discretion) and the holder of such note entitled to such payment has delivered to the paying agent or the trustee, no later than the time set forth below, a written request to receive payment by wire transfer to an account of such holder within the United States, by wire transfer of immediately available funds to such account; and</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all other cases, by check mailed to the address of such holder set forth in the note register.</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To be timely, a written request referred to in the first bullet point above must be delivered no later than the “close of business” (as defined below under the caption “—Definitions”) on the following date: (i) with respect to the payment of any interest due on an interest payment date, the immediately preceding regular record date; and (ii) with respect to any other payment, the date that is 15 calendar days immediately before the date such payment is due.</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If the due date for a payment on a note is not a “business day” (as defined below under the caption “—Definitions”), then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Registrar, Paying Agent and Conversion Agent</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maintain one or more offices or agencies in the continental United States where notes may be presented for registration of transfer or for exchange, payment and conversion, which we refer to as the “registrar,” “paying agent” and “conversion agent,” respectively. We have appointed the trustee as the initial registrar, paying agent and conversion agent and its office in the United States as a place where notes may be presented for payment. However, we may change the registrar, paying agent and conversion agent, and we or any of our subsidiaries may choose to act in that capacity as well, without prior notice to the noteholders.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Transfers and Exchanges</w:t>
      </w:r>
    </w:p>
    <w:p>
      <w:pPr>
        <w:spacing w:after="0" w:line="234"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“—Transfers and Exchanges” supersedes, in its entirety, the information in the accompanying prospectus under the caption “Transfer and Exchange.”</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A noteholder may transfer or exchange its notes at the office of the registrar in accordance with the indenture. We, the trustee and the registrar may require the noteholder to, among other things, deliver appropriate endorsements or transfer instruments, and such certificates or other documentation or evidence as we or they may reasonably require to determine that such transfer or exchange complies with applicable securities laws. In addition, we, the trustee and the registrar may refuse to register the transfer or exchange of any note that is subject to conversion, redemption or required repurchase.</w:t>
      </w:r>
    </w:p>
    <w:p>
      <w:pPr>
        <w:spacing w:after="0" w:line="202"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appointed the trustee’s corporate trust office in the United States as a place where notes may be presented for registration of transfer or for exchange. However, we may change the registrar or act as the registrar ourselves without prior notice to the noteholders.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w:t>
      </w:r>
    </w:p>
    <w:p>
      <w:pPr>
        <w:spacing w:after="0" w:line="234"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The notes will bear cash interest at an annual rate of 6.50%, payable semi-annually in arrears on January 1 and July 1 of each year, beginning on January 1, 2021, to the noteholders of record of the notes as of the close of business on the immediately preceding December 15 and June 15, respectively. Interest will accrue from, and including, the last date to which interest has been paid or duly provided for (or, if no interest has been paid or duly provided for, from, and including, the date the notes are initially issued) to, but excluding, the next interest payment date. Interest will be computed on the basis of a 360-day year comprised of twelve 30-day months. We will not pay in cash accrued interest on any notes when they are converted, except under the circumstances described under “— Conversion Rights—Treatment of Interest upon Conversion.”</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addition to the stated interest on the notes referred to above, special interest will accrue on the notes in the circumstances described below under the caption “—Events of Default—Special Interest as Sole Remedy for Certain Reporting Defaults.” All references in this prospectus supplement to interest on the notes include any special interest payable on the notes, unless the context requires otherwise.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Guarantee</w:t>
      </w:r>
    </w:p>
    <w:p>
      <w:pPr>
        <w:spacing w:after="0" w:line="234" w:lineRule="exact"/>
        <w:rPr>
          <w:sz w:val="20"/>
          <w:szCs w:val="20"/>
          <w:color w:val="auto"/>
        </w:rPr>
      </w:pPr>
    </w:p>
    <w:p>
      <w:pPr>
        <w:jc w:val="both"/>
        <w:ind w:left="120" w:right="120" w:firstLine="551"/>
        <w:spacing w:after="0" w:line="238" w:lineRule="auto"/>
        <w:rPr>
          <w:sz w:val="20"/>
          <w:szCs w:val="20"/>
          <w:color w:val="auto"/>
        </w:rPr>
      </w:pPr>
      <w:r>
        <w:rPr>
          <w:rFonts w:ascii="Arial" w:cs="Arial" w:eastAsia="Arial" w:hAnsi="Arial"/>
          <w:sz w:val="18"/>
          <w:szCs w:val="18"/>
          <w:color w:val="auto"/>
        </w:rPr>
        <w:t>American Airlines, Inc., a subsidiary of ours, will fully and unconditionally guarantee, on a senior, unsecured basis, our obligations under the indenture and the notes, including the due and punctual payment of the principal of, and interest on, the notes, whether at the maturity date, on a fundamental change repurchase date or redemption date, upon acceleration or otherwise, and all amounts due upon conversion of the notes, according to the terms of the subsidiary guarantee and of the indenture and all of our other obligations under the indenture and the notes.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There is a risk that the note guarantee is voidable under applicable law relating to fraudulent transfer or conveyance or similar laws affecting the rights of creditors generally. See “Risk factors—Risks Related to This Offering— Federal and state fraudulent transfer laws may permit a court to void obligations under the notes or the note guarantee, and, if that occurs, you may not receive any payments on the notes.” The indenture provides that, in the event that the Guarantor’s Obligations under the note guarantee would constitute such a fraudulent transfer or conveyance or violation of similar laws, then the liability of the Guarantor under the note guarantee will be reduced to the extent necessary to eliminate such fraudulent transfer or conveyance or violation.</w:t>
      </w:r>
    </w:p>
    <w:p>
      <w:pPr>
        <w:spacing w:after="0" w:line="205" w:lineRule="exact"/>
        <w:rPr>
          <w:sz w:val="20"/>
          <w:szCs w:val="20"/>
          <w:color w:val="auto"/>
        </w:rPr>
      </w:pPr>
    </w:p>
    <w:p>
      <w:pPr>
        <w:jc w:val="both"/>
        <w:ind w:left="120" w:right="820" w:firstLine="551"/>
        <w:spacing w:after="0"/>
        <w:rPr>
          <w:sz w:val="20"/>
          <w:szCs w:val="20"/>
          <w:color w:val="auto"/>
        </w:rPr>
      </w:pPr>
      <w:r>
        <w:rPr>
          <w:rFonts w:ascii="Arial" w:cs="Arial" w:eastAsia="Arial" w:hAnsi="Arial"/>
          <w:sz w:val="18"/>
          <w:szCs w:val="18"/>
          <w:color w:val="auto"/>
        </w:rPr>
        <w:t>The guarantor will be released from all obligations under its guarantee upon the satisfaction and discharge of the notes in accordance with the terms of the indenture. See “—Discharge.” The guarantor will also be released from all obligations under its guarantee in the circumstances described under “—Consolidation, Merger and Asset Sale.”</w:t>
      </w:r>
    </w:p>
    <w:p>
      <w:pPr>
        <w:spacing w:after="0" w:line="28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Ranking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our senior, unsecured obligations and will be:</w:t>
      </w:r>
    </w:p>
    <w:p>
      <w:pPr>
        <w:spacing w:after="0" w:line="117"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trade payables, and (to the extent we are not a holder thereof) preferred equity, if any, of our non-guarantor subsidiaries.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 of the guarantor will be the guarantor’s senior, unsecured obligations and will be:</w:t>
      </w:r>
    </w:p>
    <w:p>
      <w:pPr>
        <w:spacing w:after="0" w:line="117"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equal in right of payment with the guarantor’s existing and future senior, unsecured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in right of payment to the guarantor’s existing and future indebtedness that is expressly subordinated to the guarantee;</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subordinated to the guarantor’s existing and future secured indebtedness, to the extent of the value of the collateral securing that indebtedness; and</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the guarantor is not a holder thereof) preferred equity, if any, of the guarantor’s subsidiaries.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indenture will not prohibit us or the guarantor from incurring additional indebtedness, including secured indebtedness, which would be effectively senior to the notes or the guarantee, as applicable, to the extent of the value of the collateral securing that indebtedness, or indebtedness that would rank equal in right of payment with the notes or the guarantee, as applicable. The indenture will also not prohibit our non-guarantor subsidiaries from incurring any additional indebtedness or other liabilities that would be structurally senior to our obligations under the notes.</w:t>
      </w:r>
    </w:p>
    <w:p>
      <w:pPr>
        <w:spacing w:after="0" w:line="2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event of our or the guarantor’s bankruptcy, liquidation, reorganization or other winding up, our or the guarantor’s assets that secure any indebtedness will not be available to make payments under the notes or the guarantee unless all of that indebtedness is first paid in full. In the event of the bankruptcy, liquidation, reorganization or other winding up of any of our non-guarantor subsidiaries, we, as a common equity holder of that subsidiary, and, therefore, the noteholders, will rank behind that subsidiary’s creditors, including that subsidiary’s trade creditors, and (to the extent we are not a holder thereof) that subsidiary’s preferred equity holders. Even if we were a creditor of any of our non-guarantor subsidiaries, our rights as a creditor would be effectively subordinated to any security interest of others in the assets of that subsidiary, to the extent of the value of those assets, and would be subordinated to any indebtedness of that subsidiary that is senior in right of payment to that held by us.</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non-guarantor subsidiaries will have no obligations under the notes. The ability of our non-guarantor subsidiaries to pay dividends or make other payments to us is restricted by, among other things, corporate and other laws and by agreements to which our subsidiaries may become a party. Accordingly, we may be unable to gain access to the cash flow or assets of our subsidiaries to enable us to make payments on the notes.</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As of March 31, 2020, we and the guarantor had $34.3 billion in indebtedness, finance lease obligations, and operating lease liabilities. For the quarter ended March 31, 2020, our non-guarantor subsidiaries generated approximately 9% of our operating revenues and less than 1% of our operating loss, and as of March 31, 2020, our non-guarantor subsidiaries held less than 1% of our total assets and our total liabilities, respectively, and all such liabilities would have been structurally senior to the notes.</w:t>
      </w:r>
    </w:p>
    <w:p>
      <w:pPr>
        <w:spacing w:after="0" w:line="205"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See “Risk Factors—The notes will be effectively subordinated to our existing and future secured indebtedness and structurally subordinated to the liabilities of our non-guarantor subsidiaries.”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Optional Redemption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not redeem the notes at our option at any time before July 5, 2023. Subject to the terms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of the indenture, we have the right, at our election, to redeem all, or any portion in an authorized denomination, of the notes, at any time, and from time to time, on a redemption date on or after July 5, 2023 and on or before the 20th “scheduled trading day” (as defined below under the caption “—Definitions”) immediately before the maturity date, for cash, but only if the “last reported sale price” (as defined below under the caption “—Definitions”) per share of common stock exceeds 130% of the “conversion price” (as defined below under the caption “—Definitions”) on (i) each of at least 20 “trading days” (as defined below under the caption “—Definitions”), whether or not consecutive, during the 30 consecutive trading days ending on, and including, the trading day immediately before the date we send the related redemption notice; and (ii) the trading day immediately before the date we send such notice. In addition, calling any note for redemption will constitute a “make-whole fundamental change” (as defined below under the caption “—Definitions”) with respect to that note, in which case the conversion rate applicable to the conversion of that note will be increased in certain circumstances if it is converted after it is called for redemption. If we elect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redemption date will be a business day of our choosing that is no more than 45, nor less than 25, scheduled trading days after the date we send the related redemption notice, as described below. However, if, in accordance with the provisions described below under the caption “—Conversion Rights—Settlement upon Conversion—Settlement Method,” we elect to settle all conversions with a conversion date that occurs on or after the date we send such redemption notice and on or before the business day immediately before the related redemption date by physical settlement, then we may instead elect to choose a redemption date that is a business day no more than 60, nor less than 30, calendar days after the date we send such redemption notice.</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 on or, at our election, before such interest payment date, the unpaid interest that would have accrued on such note to, but excluding, such interest payment date; and (ii) the redemption price will not include accrued and unpaid interest on such note to, but excluding, such redemption date.</w:t>
      </w:r>
    </w:p>
    <w:p>
      <w:pPr>
        <w:spacing w:after="0" w:line="205"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We will send to each applicable noteholder notice of the redemption containing certain information set forth in the indenture, including the redemption price and the redemption date.</w:t>
      </w:r>
    </w:p>
    <w:p>
      <w:pPr>
        <w:spacing w:after="0" w:line="19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If only a portion of a note is subject to redemption and that note is converted in part, then the converted portion of that note will be deemed to be from the portion of that note that was subject to redemption.</w:t>
      </w:r>
    </w:p>
    <w:p>
      <w:pPr>
        <w:spacing w:after="0" w:line="19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If we elect to redeem less than all of the outstanding notes, and the holder of any note, or any owner of a beneficial interest in any global note, is reasonably not able to determine, before the close of business on the 22nd scheduled trading day (or, if, as described above, we irrevocably elect physical settlement for all conversions with a conversion date that occurs on or after the date we send the related redemption notice and on or before the business day immediately before the related redemption date, the 10th calendar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purposes of the these redemption provisions and the provisions described below under the captions “—Conversion Rights—When the Notes May Be Converted—Conversion upon Redemption” and “—Conversion Rights—Increase in Conversion Rate in Connection with a Make-Whole Fundamental Change.”</w:t>
      </w:r>
    </w:p>
    <w:p>
      <w:pPr>
        <w:spacing w:after="0" w:line="203"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Notwithstanding anything to the contrary above, we may not redeem any notes if the principal amount of the notes has been accelerated and such acceleration has not been rescinded on or before the redemption date (including as a result of the payment of the related redemption price and any related interest described above on the redemption date).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Conversion Rights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Noteholders will have the right to convert their notes (or any portion of a note in an authorized denomination), in the circumstances described below, into cash, shares of our common stock or a combination of cash and shares of our common stock (together with cash in lieu of any fractional share, if applicable), at our election, based on an initial conversion rate of 61.7284 shares per $1,000 principal amount of notes (which represents an initial conversion price of approximately $16.20 per share).</w:t>
      </w:r>
    </w:p>
    <w:p>
      <w:pPr>
        <w:spacing w:after="0" w:line="205"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Noteholders may convert their notes only in the circumstances described below under the caption “—When the Notes May Be Converted.”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Interest upon Conversion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will not adjust the conversion rate to account for any accrued and unpaid interest on any note being converted, and, except as described below, our delivery of the consideration due in respect of the conversion will be deemed to fully satisfy and discharge our obligation to pay the principal of, and accrued and unpaid interest, if any, on, such note to, but excluding, the “conversion date” (as defined below under the caption “—Conversion Procedures”). As a result, except as described below, any accrued and unpaid interest on a converted note will be deemed to be paid in full rather than cancelled, extinguished or forfeited. In addition, if the consideration due upon conversion consists of both cash and shares of our common stock, then accrued and unpaid interest that is deemed to be paid therewith will be deemed to be paid first out of such cash.</w:t>
      </w:r>
    </w:p>
    <w:p>
      <w:pPr>
        <w:spacing w:after="0" w:line="203"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Notwithstanding anything to the contrary above, if the conversion date of a note is after a regular record date and before the next interest payment date, then:</w:t>
      </w:r>
    </w:p>
    <w:p>
      <w:pPr>
        <w:spacing w:after="0" w:line="102" w:lineRule="exact"/>
        <w:rPr>
          <w:sz w:val="20"/>
          <w:szCs w:val="20"/>
          <w:color w:val="auto"/>
        </w:rPr>
      </w:pPr>
    </w:p>
    <w:p>
      <w:pPr>
        <w:ind w:left="880" w:right="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such note at the close of business on such regular record date will be entitled, notwithstanding such conversion, to receive, on or, at our election, before such interest payment date, the unpaid interest that would have accrued on such note to, but excluding, such interest payment date; and</w:t>
      </w:r>
    </w:p>
    <w:p>
      <w:pPr>
        <w:spacing w:after="0" w:line="108"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noteholder surrendering such note for conversion must deliver, at the time it surrenders such note, an amount of cash equal to the amount of such interest.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such noteholder need not deliver such cash:</w:t>
      </w:r>
    </w:p>
    <w:p>
      <w:pPr>
        <w:spacing w:after="0" w:line="117" w:lineRule="exact"/>
        <w:rPr>
          <w:sz w:val="20"/>
          <w:szCs w:val="20"/>
          <w:color w:val="auto"/>
        </w:rPr>
      </w:pPr>
    </w:p>
    <w:p>
      <w:pPr>
        <w:ind w:left="880" w:right="2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have specified a redemption date that is after such regular record date and on or before the business day immediately after such interest payment date;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such conversion date occurs after the regular record date immediately before the maturity date;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4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have specified a “fundamental change repurchase date” (as defined below under the caption “—Fundamental Change Permits Noteholders to Require Us to Repurchase Notes”) that is after such regular record date and on or before the business day immediately after such interest payment date; or</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of any overdue interest or interest that has accrued on any overdue interest.</w:t>
      </w:r>
    </w:p>
    <w:p>
      <w:pPr>
        <w:spacing w:after="0" w:line="212"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Accordingly, for the avoidance of doubt, all noteholders as of the close of business on the regular record date immediately before the maturity date will receive the full interest payment that would have been due on the maturity date regardless of whether their notes have been converted after such regular record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the Notes May Be Converted</w:t>
      </w:r>
    </w:p>
    <w:p>
      <w:pPr>
        <w:spacing w:after="0" w:line="126"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Noteholders may convert their notes only in the circumstances set forth below. However, in no event may notes be converted after the close of business on the scheduled trading day immediately before the maturity date.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upon Satisfaction of Common Stock Sale Price Condition</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A noteholder may convert its notes during any calendar quarter (and only during such calendar quarter) commencing after the calendar quarter ending on September 30, 2020,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upon Satisfaction of Note Trading Price Condition</w:t>
      </w:r>
    </w:p>
    <w:p>
      <w:pPr>
        <w:spacing w:after="0" w:line="126"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A noteholder may convert its notes during the five consecutive business days immediately after any 10 consecutive trading day period (such 10 consecutive trading day period, the “measurement period”) if the “trading price” (as defined below under the caption “— Definitions”) per $1,000 principal amount of notes, as determined following a request by a noteholder in accordance with the procedures described below, for each trading day of the measurement period was less than 98% of the product of the last reported sale price per share of our common stock on such trading day and the conversion rate on such trading day. We refer to this condition as the “trading price condition.”</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trading price will be determined by the bid solicitation agent as described below and the definition of “trading price.” The bid solicitation agent (if not us) will have no obligation to determine the trading price of the notes unless we have requested such determination in writing and provided the names and contact information of the nationally recognized securities dealers selected by us, and we will have no obligation to make such request (or seek bids ourselves) unless a noteholder provides us with reasonable evidence that the trading price per $1,000 principal amount of notes would be less than 98% of the product of the last reported sale price per share of our common stock and the conversion rate. If a noteholder provides such evidence, then we will instruct the bid solicitation agent to (or, if we are acting as the bid solicitation agent, we will) determine the trading price of the notes, in accordance with the bids solicited by the bid solicitation agent, beginning on the next trading day and on each successive trading day until the trading price per $1,000 principal amount of notes is greater than or equal to 98% of the product of the last reported sale price per share of our common stock on such trading day and the conversion rate on such trading day. If the trading price condition has been met as described above, then we will notify the noteholders, the trustee and the conversion agent (if other than the trustee) of the same. If, on any trading day after the trading price condition has been met as described above, the trading price per $1,000 principal amount of notes is greater than or equal</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to 98% of the product of the last reported sale price per share of our common stock on such trading day and the conversion rate on such trading day, then we will notify the noteholders, the trustee and the conversion agent (if other than the trustee) of the same.</w:t>
      </w:r>
    </w:p>
    <w:p>
      <w:pPr>
        <w:spacing w:after="0" w:line="197"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will act as the initial bid solicitation agent. However, we may change the bid solicitation agent, and we may appoint any of our subsidiaries to act in that capacity as well, without prior notice to the noteholders.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upon Specified Corporate Events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Certain Distributions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w:t>
      </w:r>
    </w:p>
    <w:p>
      <w:pPr>
        <w:spacing w:after="0" w:line="117" w:lineRule="exact"/>
        <w:rPr>
          <w:sz w:val="20"/>
          <w:szCs w:val="20"/>
          <w:color w:val="auto"/>
        </w:rPr>
      </w:pPr>
    </w:p>
    <w:p>
      <w:pPr>
        <w:ind w:left="880" w:hanging="224"/>
        <w:spacing w:after="0" w:line="23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distribute, to all or substantially all holders of our common stock, any rights, options or warrants (other than rights issued pursuant to a stockholder rights plan) entitling them, for a period of not more than 60 calendar days after the record date of such distribution,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(determined in accordance with the provisions described in the third paragraph of clause (2) under the heading “ —Conversion Rate Adjustments—Generally” below); or</w:t>
      </w:r>
    </w:p>
    <w:p>
      <w:pPr>
        <w:spacing w:after="0" w:line="110"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distribute, to all or substantially all holders of our common stock, assets or securities of ours or rights to purchase our securities, which distribution per share of our common stock has a value, as reasonably determined by our board of directors, exceeding 15% of the last reported sale price per share of our common stock on the trading day immediately before the date such distribution is announced,</w:t>
      </w:r>
    </w:p>
    <w:p>
      <w:pPr>
        <w:spacing w:after="0" w:line="20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then, in either case, we will send notice of such distribution, and of the related right to convert notes, to noteholders (with a copy to the trustee and the conversion agent) at least 25 scheduled trading days before the “ex-dividend date” (as defined below under the caption “— Definitions”) for such distribution. However, if we are then otherwise permitted to settle conversions by physical settlement (and, for the avoidance of doubt, we have not elected another settlement method to apply, including pursuant to the provision described in the third sentence under the caption “—Settlement upon Conversion</w:t>
      </w:r>
      <w:r>
        <w:rPr>
          <w:rFonts w:ascii="Arial" w:cs="Arial" w:eastAsia="Arial" w:hAnsi="Arial"/>
          <w:sz w:val="18"/>
          <w:szCs w:val="18"/>
          <w:i w:val="1"/>
          <w:iCs w:val="1"/>
          <w:color w:val="auto"/>
        </w:rPr>
        <w:t>—</w:t>
      </w:r>
      <w:r>
        <w:rPr>
          <w:rFonts w:ascii="Arial" w:cs="Arial" w:eastAsia="Arial" w:hAnsi="Arial"/>
          <w:sz w:val="18"/>
          <w:szCs w:val="18"/>
          <w:color w:val="auto"/>
        </w:rPr>
        <w:t>Settlement Method” below), then we may instead elect to provide such notice at least 10 scheduled trading days before such ex-dividend date. In that event, we will be required to settle all conversions with a conversion date occurring on or after the date we provide such notice and on or before the business day immediately before the ex-dividend date for such distribution (or any earlier announcement by us that such distribution will not take place) by physical settlement, and we will describe the same in the notice. Once we have sent such notice, noteholders may convert their notes at any time until the earlier of the close of business on the business day immediately before such ex-dividend date and our announcement that such distribution will not take place. However, the notes will not become convertible on account of such distribution (but we will still be required to send notice of such distribution as described above) if each noteholder participates, at the same time and on the same terms as holders of our common stock, and solely by virtue of being a noteholder, in such distribution without having to convert such noteholder’s notes and as if such noteholder held a number of shares of our common stock equal to the product of (i) the conversion rate in effect on the record date for such distribution; and (ii) the aggregate principal amount (expressed in thousands) of notes held by such noteholder on such record date.</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Certain Corporate Events</w:t>
      </w:r>
    </w:p>
    <w:p>
      <w:pPr>
        <w:spacing w:after="0" w:line="12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If a fundamental change, make-whole fundamental change (other than a make-whole fundamental change pursuant to clause (ii) of the definition thereof) or “common stock change event”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defined below under the caption “—Effect of Common Stock Change Event”) occurs (other than a merger or other business combination transaction that is effected solely for the purpose of changing our jurisdiction of incorporation or an internal reorganization among us and our wholly owned subsidiaries or parent entities (in each case, direct or indirect) such that, following such reorganization, such subsidiaries or parent entities directly or indirectly own 100% of our outstanding equity and, in each case, that (x) does not constitute a fundamental change or a make-whole fundamental change and (y) results in a reclassification, conversion or exchange of outstanding shares of our common stock solely into shares of common stock of the surviving entity and such common stock becomes the “reference property” (as defined below under the caption “—Effect of Common Stock Change Event”) for the notes), then, in each case, noteholders may convert their notes at any time from, and including, the effective date of such transaction or event to, and including, the 35th trading day after such effective date (or, if such transaction or event also constitutes a fundamental change (other than an “exempted fundamental change,” as defined below under the caption “—Fundamental Change Permits Noteholders to Require Us to Repurchase Notes—No Repurchase Right in Certain Circumstances”), to, but excluding, the related fundamental change repurchase date). No later than such effective date, we will send notice to the noteholders, the trustee and the conversion agent (if other than the trustee) of such transaction or event, such effective date and the related right to convert notes. If we do not provide such notice by the effective date, then the last day on which the notes are convertible will be extended by the number of business days from, and including, the effective date to, but excluding, the date we provide the notice.</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upon Redemption</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call any note for redemption, then the holder of such note may convert such note at any time before the close of business on the business day immediately before the related redemption date (or, if we fail to pay the redemption price due on such redemption date in full, at any time until such time as we pay such redemption price in full).</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Conversions During Free Convertibility Period</w:t>
      </w:r>
    </w:p>
    <w:p>
      <w:pPr>
        <w:spacing w:after="0" w:line="12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A noteholder may convert its notes at any time from, and including, April 1, 2025 until the close of business on the scheduled trading day immediately before the maturity date.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Procedures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a beneficial interest in a global note, the owner of the beneficial interest must:</w:t>
      </w:r>
    </w:p>
    <w:p>
      <w:pPr>
        <w:spacing w:after="0" w:line="117" w:lineRule="exact"/>
        <w:rPr>
          <w:sz w:val="20"/>
          <w:szCs w:val="20"/>
          <w:color w:val="auto"/>
        </w:rPr>
      </w:pPr>
    </w:p>
    <w:p>
      <w:pPr>
        <w:ind w:left="88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the “depositary procedures” (as defined below under the caption “—Definitions”) for converting the beneficial interest (at which time such conversion will become irrevocable);</w:t>
      </w:r>
    </w:p>
    <w:p>
      <w:pPr>
        <w:spacing w:after="0" w:line="102"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pay any interest payable on the next interest payment date, as described above under the caption “—Treatment of Interest upon Conversion”;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pay any documentary or other taxes as described below.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all or a portion of a physical note, the holder of such note must:</w:t>
      </w:r>
    </w:p>
    <w:p>
      <w:pPr>
        <w:spacing w:after="0" w:line="117" w:lineRule="exact"/>
        <w:rPr>
          <w:sz w:val="20"/>
          <w:szCs w:val="20"/>
          <w:color w:val="auto"/>
        </w:rPr>
      </w:pPr>
    </w:p>
    <w:p>
      <w:pPr>
        <w:ind w:left="880" w:right="18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 manually sign and deliver to the conversion agent the conversion notice attached to such note or a facsimile of such conversion notice;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such note to the conversion agent (at which time such conversion will become irrevocable);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 any endorsements and transfer documents that we or the conversion agent may require;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pay any interest payable on the next interest payment date, as described above under the caption “—Treatment of Interest upon Conversion”;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pay any documentary or other taxes as described below.</w:t>
      </w:r>
    </w:p>
    <w:p>
      <w:pPr>
        <w:spacing w:after="0" w:line="21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Notes may be surrendered for conversion only after the “open of business” (as defined below under the caption “—Definitions”) and before the close of business on a day that is a business day.</w:t>
      </w:r>
    </w:p>
    <w:p>
      <w:pPr>
        <w:spacing w:after="0" w:line="197" w:lineRule="exact"/>
        <w:rPr>
          <w:sz w:val="20"/>
          <w:szCs w:val="20"/>
          <w:color w:val="auto"/>
        </w:rPr>
      </w:pPr>
    </w:p>
    <w:p>
      <w:pPr>
        <w:jc w:val="both"/>
        <w:ind w:left="120" w:right="640" w:firstLine="551"/>
        <w:spacing w:after="0"/>
        <w:rPr>
          <w:sz w:val="20"/>
          <w:szCs w:val="20"/>
          <w:color w:val="auto"/>
        </w:rPr>
      </w:pPr>
      <w:r>
        <w:rPr>
          <w:rFonts w:ascii="Arial" w:cs="Arial" w:eastAsia="Arial" w:hAnsi="Arial"/>
          <w:sz w:val="18"/>
          <w:szCs w:val="18"/>
          <w:color w:val="auto"/>
        </w:rPr>
        <w:t>We will pay any documentary, stamp or similar issue or transfer tax or duty due on the issue or delivery of any shares of our common stock upon conversion, except any tax or duty that is due because the converting noteholder requests those shares to be registered in a name other than the noteholder’s name.</w:t>
      </w:r>
    </w:p>
    <w:p>
      <w:pPr>
        <w:spacing w:after="0" w:line="20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We refer to the first business day on which the requirements described above to convert a note are satisfied as the “conversion date,” subject to the provision described in the last sentence under the caption “—Settlement upon Conversion—Delivery of the Conversion Consideration.”</w:t>
      </w:r>
    </w:p>
    <w:p>
      <w:pPr>
        <w:spacing w:after="0" w:line="203"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If a noteholder has validly delivered a “fundamental change repurchase notice” (as defined below under the caption “— Fundamental Change Permits Noteholders to Require Us to Repurchase Notes”) with respect to a note, then such note may not be converted, except to the extent (i) such notice is withdrawn in accordance with the procedures described below; or (ii) we fail to pay the related fundamental change repurchase price for such note.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Settlement upon Conversion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Upon conversion, we may choose to pay or deliver, as applicable, either cash (“cash settlement”), shares of our common stock (“physical settlement”) or a combination of cash and shares of our common stock (“combination settlement”), as described below. We refer to each of these settlement methods as a “settlement method.” If cash settlement or combination settlement applies to a conversion, then the consideration due will be determined over an “observation period” (as defined below under the caption “—Definitions”) consisting of 20 “VWAP trading days” (as defined below under the caption “—Definitions”).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Settlement Method</w:t>
      </w:r>
    </w:p>
    <w:p>
      <w:pPr>
        <w:spacing w:after="0" w:line="126" w:lineRule="exact"/>
        <w:rPr>
          <w:sz w:val="20"/>
          <w:szCs w:val="20"/>
          <w:color w:val="auto"/>
        </w:rPr>
      </w:pPr>
    </w:p>
    <w:p>
      <w:pPr>
        <w:ind w:left="120" w:right="40" w:firstLine="551"/>
        <w:spacing w:after="0" w:line="251" w:lineRule="auto"/>
        <w:rPr>
          <w:sz w:val="20"/>
          <w:szCs w:val="20"/>
          <w:color w:val="auto"/>
        </w:rPr>
      </w:pPr>
      <w:r>
        <w:rPr>
          <w:rFonts w:ascii="Arial" w:cs="Arial" w:eastAsia="Arial" w:hAnsi="Arial"/>
          <w:sz w:val="17"/>
          <w:szCs w:val="17"/>
          <w:color w:val="auto"/>
        </w:rPr>
        <w:t xml:space="preserve">We will have the right, as described below, to elect the settlement method applicable to the conversion of any notes. Except as described below, we must use the same settlement method for all conversions with the same conversion date, but we will not be obligated to use the same settlement method for conversions with different conversion dates. All conversions with a conversion date that occurs on or after April 1, 2025 will be settled using the same settlement method, and we will send notice of such settlement method to noteholders, the trustee and the conversion agent (if other than the trustee) no later than the open of business on April 1, 2025. If we elect a settlement method for a conversion with a conversion date that occurs before April 1, 2025, then we will send notice of such settlement method to the converting noteholder, the trustee and the conversion agent (if other than the trustee) no later than the close of business on the business day immediately after the conversion date. However, as described above under the captions “ </w:t>
      </w:r>
      <w:r>
        <w:rPr>
          <w:rFonts w:ascii="Arial" w:cs="Arial" w:eastAsia="Arial" w:hAnsi="Arial"/>
          <w:sz w:val="17"/>
          <w:szCs w:val="17"/>
          <w:i w:val="1"/>
          <w:iCs w:val="1"/>
          <w:color w:val="auto"/>
        </w:rPr>
        <w:t>—</w:t>
      </w:r>
      <w:r>
        <w:rPr>
          <w:rFonts w:ascii="Arial" w:cs="Arial" w:eastAsia="Arial" w:hAnsi="Arial"/>
          <w:sz w:val="17"/>
          <w:szCs w:val="17"/>
          <w:color w:val="auto"/>
        </w:rPr>
        <w:t>Optional Redemption” and “—When the Notes May Be Converted—Conversion upon Specified Corporate Events—Certain Distributions,” we may in certain circumstances elect that physical settlement apply to all conversions with a conversion date occurring during the periods referred to under those captions. Notwithstanding anything to the contrary described above, if we call any notes for redemption, then (i) we will specify in the related redemption notice the settlement method that will apply to all conversions with a conversion date that occurs on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after the date we send such redemption notice and on or before the business day before the related redemption date; and (ii) if the related redemption date is on or after April 1, 2025, then such settlement method must be the same settlement method that applies to all conversions with a conversion date that occurs on or after April 1, 2025.</w:t>
      </w:r>
    </w:p>
    <w:p>
      <w:pPr>
        <w:spacing w:after="0" w:line="20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If we do not timely elect a settlement method with respect to any conversion, then we will be deemed to have elected the “default settlement method” (as defined below). If we timely elect combination settlement with respect to a conversion but do not timely notify the converting noteholder of the applicable “specified dollar amount” (as defined below under the caption “ —Definitions”), then the specified dollar amount for such conversion will be deemed to be $1,000 per $1,000 principal amount of notes. For the avoidance of doubt, our failure to timely elect a settlement method or specify the applicable specified dollar amount will not constitute a default under the indenture.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“default settlement method” will initially be combination settlement with a specified dollar amount of $1,000 per $1,000 principal amount of notes. However, we may, from time to time, change the default settlement method by sending notice of the new default settlement method to the noteholders, the trustee and the conversion agent (if other than the trustee). In addition, we may, by notice to the noteholders, the trustee and the conversion agent (if other than the trustee) elect to irrevocably fix the settlement method, to any settlement method that we are then permitted to elect, that will apply to all note conversions with a conversion date that is on or after the date we send such notice. However, no such irrevocable election will affect any settlement method theretofore elected (or deemed to be elected) with respect to any note pursuant to the provisions described above. For the avoidance of doubt, such an irrevocable election, if made, will be effective without the need to amend the indenture or the notes, including pursuant to the provisions described in the seventh bullet point of the third paragraph under the caption “—Modification and Amendment” below. However, we may nonetheless choose to execute such an amendment at our option.</w:t>
      </w:r>
    </w:p>
    <w:p>
      <w:pPr>
        <w:spacing w:after="0" w:line="20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If we change the default settlement method or irrevocably fix the settlement method pursuant to the provisions described above, then we will either post the default settlement method or fixed settlement method, as applicable, on our website or disclose the same in a current report on Form 8-K (or any successor form) that is filed with the SEC.</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Consideration Due upon Conversion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consideration due upon conversion of each $1,000 principal amount of a note will be as follows:</w:t>
      </w:r>
    </w:p>
    <w:p>
      <w:pPr>
        <w:spacing w:after="0" w:line="117" w:lineRule="exact"/>
        <w:rPr>
          <w:sz w:val="20"/>
          <w:szCs w:val="20"/>
          <w:color w:val="auto"/>
        </w:rPr>
      </w:pPr>
    </w:p>
    <w:p>
      <w:pPr>
        <w:ind w:left="880" w:right="1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physical settlement applies, a number of shares of our common stock equal to the conversion rate in effect on the conversion date for such conversion;</w:t>
      </w:r>
    </w:p>
    <w:p>
      <w:pPr>
        <w:spacing w:after="0" w:line="102"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cash settlement applies, cash in an amount equal to the sum of the “daily conversion values” (as defined below under the caption “—Definitions”) for each VWAP trading day in the observation period for such conversion; or</w:t>
      </w:r>
    </w:p>
    <w:p>
      <w:pPr>
        <w:spacing w:after="0" w:line="102"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combination settlement applies, (i) a number of shares of our common stock equal to the sum of the “daily share amounts” (as defined below under the caption “ —Definitions”) for each VWAP trading day in the observation period for such conversion; and (ii) an amount of cash equal to the sum of the “daily cash amounts” (as defined below under the caption “ —Definitions”) for each VWAP trading day in such observation period.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in lieu of delivering any fractional share of common stock otherwise due upon conversion, we will pay cash based on</w:t>
      </w:r>
    </w:p>
    <w:p>
      <w:pPr>
        <w:ind w:left="120" w:right="180" w:hanging="4"/>
        <w:spacing w:after="0"/>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daily VWAP on the applicable conversion date (or, if such conversion date is not a VWAP trading day, the immediately preceding VWAP trading day), in the case of physical settlement; or (ii) the daily VWAP on the last VWAP trading day of the applicable observation period, in the case of combination settlement.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firstLine="551"/>
        <w:spacing w:after="0"/>
        <w:rPr>
          <w:sz w:val="20"/>
          <w:szCs w:val="20"/>
          <w:color w:val="auto"/>
        </w:rPr>
      </w:pPr>
      <w:r>
        <w:rPr>
          <w:rFonts w:ascii="Arial" w:cs="Arial" w:eastAsia="Arial" w:hAnsi="Arial"/>
          <w:sz w:val="18"/>
          <w:szCs w:val="18"/>
          <w:color w:val="auto"/>
        </w:rPr>
        <w:t>If a noteholder converts more than one note on a conversion date, then the consideration due upon such conversion will (in the case of any global note, to the extent permitted by, and practicable under, the depositary procedures) be computed based on the total principal amount of notes converted on such conversion date by that noteholder.</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of the Conversion Consideration</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Except as described below under the captions “—Conversion Rate Adjustments” and “—Effect of Common Stock Change Event,” we will pay or deliver, as applicable, the consideration due upon conversion as follows: (i) if cash settlement or combination settlement applies, on or before the second business day immediately after the last VWAP trading day of the observation period for such conversion; and (ii) if physical settlement applies, on or before the second business day immediately after the conversion date for such conversion. However, if physical settlement applies to the conversion of any note with a conversion date that is after the regular record date immediately before the maturity date, then, solely for purposes of such conversion, we will pay or deliver, as applicable, the consideration due upon such conversion no later than the maturity date (or, if the maturity date is not a business day, the next business day) and the conversion date will instead be deemed to be the second business day immediately before the maturity date.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Converting Noteholders Become Stockholders of Record</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person in whose name any share of common stock is issuable upon conversion of any note will be deemed to become the holder of record of that share as of the close of business on (i) the conversion date for such conversion, in the case of physical settlement; or (ii) the last VWAP trading day of the observation period for such conversion, in the case of combination settlement.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Rate Adjustments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The conversion rate will be adjusted for the events described below. However, we are not required to adjust the conversion rate for these events (other than a stock split or combination or a tender or exchange offer) if each noteholder participates, at the same time and on the same terms as holders of our common stock, and solely by virtue of being a holder of notes, in such transaction or event without having to convert such noteholder’s notes and as if such noteholder held a number of shares of our common stock equal to the product of</w:t>
      </w:r>
    </w:p>
    <w:p>
      <w:pPr>
        <w:spacing w:after="0" w:line="2" w:lineRule="exact"/>
        <w:rPr>
          <w:sz w:val="20"/>
          <w:szCs w:val="20"/>
          <w:color w:val="auto"/>
        </w:rPr>
      </w:pPr>
    </w:p>
    <w:p>
      <w:pPr>
        <w:ind w:left="120" w:right="100" w:hanging="4"/>
        <w:spacing w:after="0" w:line="246"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conversion rate in effect on the related record date; and (ii) the aggregate principal amount (expressed in thousands) of notes held by such noteholder on such date.</w:t>
      </w:r>
    </w:p>
    <w:p>
      <w:pPr>
        <w:spacing w:after="0" w:line="84" w:lineRule="exact"/>
        <w:rPr>
          <w:sz w:val="20"/>
          <w:szCs w:val="20"/>
          <w:color w:val="auto"/>
        </w:rPr>
      </w:pPr>
    </w:p>
    <w:p>
      <w:pPr>
        <w:ind w:left="660" w:right="40" w:hanging="544"/>
        <w:spacing w:after="0" w:line="24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 Dividends, Splits and Combinations</w:t>
      </w:r>
      <w:r>
        <w:rPr>
          <w:rFonts w:ascii="Arial" w:cs="Arial" w:eastAsia="Arial" w:hAnsi="Arial"/>
          <w:sz w:val="18"/>
          <w:szCs w:val="18"/>
          <w:color w:val="auto"/>
        </w:rPr>
        <w:t>. If we issue solely shares of our common stock as a dividend or distribution on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shares of our common stock, or if we effect a stock split or a stock combination of our common stock (in each case excluding an issuance solely pursuant to a common stock change event, as to which the provisions described below under the caption “—Effect of Common Stock Change Event” will apply), then the conversion rate will be adjusted based on the following formula:</w:t>
      </w:r>
    </w:p>
    <w:p>
      <w:pPr>
        <w:spacing w:after="0" w:line="18" w:lineRule="exact"/>
        <w:rPr>
          <w:sz w:val="20"/>
          <w:szCs w:val="20"/>
          <w:color w:val="auto"/>
        </w:rPr>
      </w:pPr>
    </w:p>
    <w:p>
      <w:pPr>
        <w:ind w:left="4400"/>
        <w:spacing w:after="0"/>
        <w:tabs>
          <w:tab w:leader="none" w:pos="5140" w:val="left"/>
          <w:tab w:leader="none" w:pos="5460" w:val="left"/>
        </w:tabs>
        <w:rPr>
          <w:sz w:val="20"/>
          <w:szCs w:val="20"/>
          <w:color w:val="auto"/>
        </w:rPr>
      </w:pPr>
      <w:r>
        <w:rPr>
          <w:rFonts w:ascii="Arial" w:cs="Arial" w:eastAsia="Arial" w:hAnsi="Arial"/>
          <w:sz w:val="35"/>
          <w:szCs w:val="35"/>
          <w:i w:val="1"/>
          <w:iCs w:val="1"/>
          <w:color w:val="auto"/>
          <w:vertAlign w:val="subscript"/>
        </w:rPr>
        <w:t>CR</w:t>
      </w:r>
      <w:r>
        <w:rPr>
          <w:rFonts w:ascii="Arial" w:cs="Arial" w:eastAsia="Arial" w:hAnsi="Arial"/>
          <w:sz w:val="15"/>
          <w:szCs w:val="15"/>
          <w:i w:val="1"/>
          <w:iCs w:val="1"/>
          <w:color w:val="auto"/>
        </w:rPr>
        <w:t>1</w:t>
      </w:r>
      <w:r>
        <w:rPr>
          <w:sz w:val="20"/>
          <w:szCs w:val="20"/>
          <w:color w:val="auto"/>
        </w:rPr>
        <w:tab/>
      </w:r>
      <w:r>
        <w:rPr>
          <w:rFonts w:ascii="Arial" w:cs="Arial" w:eastAsia="Arial" w:hAnsi="Arial"/>
          <w:sz w:val="36"/>
          <w:szCs w:val="36"/>
          <w:i w:val="1"/>
          <w:iCs w:val="1"/>
          <w:color w:val="auto"/>
          <w:vertAlign w:val="subscript"/>
        </w:rPr>
        <w:t>=</w:t>
      </w:r>
      <w:r>
        <w:rPr>
          <w:sz w:val="20"/>
          <w:szCs w:val="20"/>
          <w:color w:val="auto"/>
        </w:rPr>
        <w:tab/>
      </w:r>
      <w:r>
        <w:rPr>
          <w:rFonts w:ascii="Arial" w:cs="Arial" w:eastAsia="Arial" w:hAnsi="Arial"/>
          <w:sz w:val="27"/>
          <w:szCs w:val="27"/>
          <w:i w:val="1"/>
          <w:iCs w:val="1"/>
          <w:color w:val="auto"/>
          <w:vertAlign w:val="subscript"/>
        </w:rPr>
        <w:t>CR</w:t>
      </w:r>
      <w:r>
        <w:rPr>
          <w:rFonts w:ascii="Arial" w:cs="Arial" w:eastAsia="Arial" w:hAnsi="Arial"/>
          <w:sz w:val="13"/>
          <w:szCs w:val="13"/>
          <w:i w:val="1"/>
          <w:iCs w:val="1"/>
          <w:color w:val="auto"/>
        </w:rPr>
        <w:t>0</w:t>
      </w:r>
      <w:r>
        <w:rPr>
          <w:rFonts w:ascii="Arial" w:cs="Arial" w:eastAsia="Arial" w:hAnsi="Arial"/>
          <w:sz w:val="27"/>
          <w:szCs w:val="27"/>
          <w:i w:val="1"/>
          <w:iCs w:val="1"/>
          <w:color w:val="auto"/>
        </w:rPr>
        <w:t xml:space="preserve">   </w:t>
      </w:r>
      <w:r>
        <w:rPr>
          <w:rFonts w:ascii="Arial" w:cs="Arial" w:eastAsia="Arial" w:hAnsi="Arial"/>
          <w:sz w:val="27"/>
          <w:szCs w:val="27"/>
          <w:i w:val="1"/>
          <w:iCs w:val="1"/>
          <w:color w:val="auto"/>
          <w:vertAlign w:val="subscript"/>
        </w:rPr>
        <w:t>×</w:t>
      </w:r>
      <w:r>
        <w:rPr>
          <w:rFonts w:ascii="Arial" w:cs="Arial" w:eastAsia="Arial" w:hAnsi="Arial"/>
          <w:sz w:val="27"/>
          <w:szCs w:val="27"/>
          <w:i w:val="1"/>
          <w:iCs w:val="1"/>
          <w:color w:val="auto"/>
        </w:rPr>
        <w:t xml:space="preserve">  </w:t>
      </w:r>
      <w:r>
        <w:rPr>
          <w:rFonts w:ascii="Arial" w:cs="Arial" w:eastAsia="Arial" w:hAnsi="Arial"/>
          <w:sz w:val="27"/>
          <w:szCs w:val="27"/>
          <w:i w:val="1"/>
          <w:iCs w:val="1"/>
          <w:color w:val="auto"/>
          <w:vertAlign w:val="superscript"/>
        </w:rPr>
        <w:t>OS</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-15875</wp:posOffset>
            </wp:positionV>
            <wp:extent cx="3429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i w:val="1"/>
          <w:iCs w:val="1"/>
          <w:color w:val="auto"/>
        </w:rPr>
        <w:t>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99" w:lineRule="exact"/>
        <w:rPr>
          <w:sz w:val="20"/>
          <w:szCs w:val="20"/>
          <w:color w:val="auto"/>
        </w:rPr>
      </w:pPr>
    </w:p>
    <w:p>
      <w:pPr>
        <w:ind w:left="1060" w:right="500" w:hanging="715"/>
        <w:spacing w:after="0"/>
        <w:tabs>
          <w:tab w:leader="none" w:pos="104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0</w:t>
      </w:r>
      <w:r>
        <w:rPr>
          <w:sz w:val="20"/>
          <w:szCs w:val="20"/>
          <w:color w:val="auto"/>
        </w:rPr>
        <w:tab/>
      </w:r>
      <w:r>
        <w:rPr>
          <w:rFonts w:ascii="Arial" w:cs="Arial" w:eastAsia="Arial" w:hAnsi="Arial"/>
          <w:sz w:val="18"/>
          <w:szCs w:val="18"/>
          <w:color w:val="auto"/>
        </w:rPr>
        <w:t>= the conversion rate in effect immediately before the open of business on the ex-dividend date for such dividend or distribution, or immediately before the open of business on the effective date of such stock split or stock combination, as applicable;</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CR</w:t>
      </w:r>
      <w:r>
        <w:rPr>
          <w:rFonts w:ascii="Arial" w:cs="Arial" w:eastAsia="Arial" w:hAnsi="Arial"/>
          <w:sz w:val="14"/>
          <w:szCs w:val="14"/>
          <w:i w:val="1"/>
          <w:iCs w:val="1"/>
          <w:color w:val="auto"/>
        </w:rPr>
        <w:t>1</w:t>
      </w: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OS</w:t>
      </w:r>
      <w:r>
        <w:rPr>
          <w:rFonts w:ascii="Arial" w:cs="Arial" w:eastAsia="Arial" w:hAnsi="Arial"/>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218" w:right="840" w:hanging="218"/>
        <w:spacing w:after="0" w:line="246" w:lineRule="auto"/>
        <w:tabs>
          <w:tab w:leader="none" w:pos="2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conversion rate in effect immediately after the open of business on such ex-dividend date or effective date, as applicable;</w:t>
      </w:r>
    </w:p>
    <w:p>
      <w:pPr>
        <w:spacing w:after="0" w:line="196" w:lineRule="exact"/>
        <w:rPr>
          <w:rFonts w:ascii="Arial" w:cs="Arial" w:eastAsia="Arial" w:hAnsi="Arial"/>
          <w:sz w:val="18"/>
          <w:szCs w:val="18"/>
          <w:color w:val="auto"/>
        </w:rPr>
      </w:pPr>
    </w:p>
    <w:p>
      <w:pPr>
        <w:ind w:left="218" w:right="520" w:hanging="218"/>
        <w:spacing w:after="0"/>
        <w:tabs>
          <w:tab w:leader="none" w:pos="2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of our common stock outstanding immediately before the open of business on such ex-dividend date or effective date, as applicable, without giving effect to such dividend, distribution, stock split or stock combination; and</w:t>
      </w:r>
    </w:p>
    <w:p>
      <w:pPr>
        <w:spacing w:after="0" w:line="185" w:lineRule="exact"/>
        <w:rPr>
          <w:sz w:val="20"/>
          <w:szCs w:val="20"/>
          <w:color w:val="auto"/>
        </w:rPr>
      </w:pPr>
    </w:p>
    <w:p>
      <w:pPr>
        <w:sectPr>
          <w:pgSz w:w="11900" w:h="16838" w:orient="portrait"/>
          <w:cols w:equalWidth="0" w:num="2">
            <w:col w:w="900" w:space="162"/>
            <w:col w:w="10058"/>
          </w:cols>
          <w:pgMar w:left="320" w:top="459" w:right="459" w:bottom="1440" w:gutter="0" w:footer="0" w:header="0"/>
          <w:type w:val="continuous"/>
        </w:sectPr>
      </w:pPr>
    </w:p>
    <w:p>
      <w:pPr>
        <w:ind w:left="1060" w:right="640" w:hanging="715"/>
        <w:spacing w:after="0" w:line="246" w:lineRule="auto"/>
        <w:tabs>
          <w:tab w:leader="none" w:pos="1040" w:val="left"/>
        </w:tabs>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i w:val="1"/>
          <w:iCs w:val="1"/>
          <w:color w:val="auto"/>
        </w:rPr>
        <w:t>1</w:t>
      </w:r>
      <w:r>
        <w:rPr>
          <w:sz w:val="20"/>
          <w:szCs w:val="20"/>
          <w:color w:val="auto"/>
        </w:rPr>
        <w:tab/>
      </w:r>
      <w:r>
        <w:rPr>
          <w:rFonts w:ascii="Arial" w:cs="Arial" w:eastAsia="Arial" w:hAnsi="Arial"/>
          <w:sz w:val="18"/>
          <w:szCs w:val="18"/>
          <w:color w:val="auto"/>
        </w:rPr>
        <w:t>= the number of shares of our common stock outstanding immediately after giving effect to such dividend, distribution, stock split or stock combination.</w:t>
      </w:r>
    </w:p>
    <w:p>
      <w:pPr>
        <w:spacing w:after="0" w:line="107"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 xml:space="preserve">For the avoidance of doubt, any adjustment to the conversion rate pursuant to this paragraph (1) will become effective as of the time set forth in the definition of </w:t>
      </w: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r>
        <w:rPr>
          <w:rFonts w:ascii="Arial" w:cs="Arial" w:eastAsia="Arial" w:hAnsi="Arial"/>
          <w:sz w:val="18"/>
          <w:szCs w:val="18"/>
          <w:color w:val="auto"/>
        </w:rPr>
        <w:t xml:space="preserve"> above. If any dividend, distribution, stock split or stock combination of the type described in this paragraph (1) is declared or announced, but not so paid or made, then the conversion rate will be readjusted, effective as of the date our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92" w:lineRule="exact"/>
        <w:rPr>
          <w:sz w:val="20"/>
          <w:szCs w:val="20"/>
          <w:color w:val="auto"/>
        </w:rPr>
      </w:pPr>
    </w:p>
    <w:p>
      <w:pPr>
        <w:ind w:left="660" w:hanging="54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Rights, Options and Warrants</w:t>
      </w:r>
      <w:r>
        <w:rPr>
          <w:rFonts w:ascii="Arial" w:cs="Arial" w:eastAsia="Arial" w:hAnsi="Arial"/>
          <w:sz w:val="18"/>
          <w:szCs w:val="18"/>
          <w:color w:val="auto"/>
        </w:rPr>
        <w:t>. If we distribute, to all or substantially all holders of our common stock, rights, options or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rights issued or otherwise distributed pursuant to a stockholder rights plan, as to which the provisions described below in paragraph (3)(a) and under the caption “—Stockholder Rights Plans” will apply) entitling such holders, for a period of not more than 60 calendar days after the record date of such distribution,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then the conversion rate will be increased based on the following formula:</w:t>
      </w:r>
    </w:p>
    <w:p>
      <w:pPr>
        <w:spacing w:after="0" w:line="144"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OS+X</w:t>
      </w:r>
    </w:p>
    <w:p>
      <w:pPr>
        <w:ind w:left="4080"/>
        <w:spacing w:after="0" w:line="201" w:lineRule="auto"/>
        <w:tabs>
          <w:tab w:leader="none" w:pos="4800" w:val="left"/>
          <w:tab w:leader="none" w:pos="5140" w:val="left"/>
          <w:tab w:leader="none" w:pos="57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r>
        <w:rPr>
          <w:sz w:val="20"/>
          <w:szCs w:val="20"/>
          <w:color w:val="auto"/>
        </w:rPr>
        <w:tab/>
      </w:r>
      <w:r>
        <w:rPr>
          <w:rFonts w:ascii="Arial" w:cs="Arial" w:eastAsia="Arial" w:hAnsi="Arial"/>
          <w:sz w:val="18"/>
          <w:szCs w:val="18"/>
          <w:i w:val="1"/>
          <w:iCs w:val="1"/>
          <w:color w:val="auto"/>
        </w:rPr>
        <w:t>=</w:t>
        <w:tab/>
        <w:t>CR</w:t>
      </w:r>
      <w:r>
        <w:rPr>
          <w:rFonts w:ascii="Arial" w:cs="Arial" w:eastAsia="Arial" w:hAnsi="Arial"/>
          <w:sz w:val="15"/>
          <w:szCs w:val="15"/>
          <w:i w:val="1"/>
          <w:iCs w:val="1"/>
          <w:color w:val="auto"/>
        </w:rPr>
        <w:t>0</w:t>
      </w:r>
      <w:r>
        <w:rPr>
          <w:rFonts w:ascii="Arial" w:cs="Arial" w:eastAsia="Arial" w:hAnsi="Arial"/>
          <w:sz w:val="18"/>
          <w:szCs w:val="18"/>
          <w:i w:val="1"/>
          <w:iCs w:val="1"/>
          <w:color w:val="auto"/>
        </w:rPr>
        <w:tab/>
        <w:t xml:space="preserve">× </w:t>
      </w:r>
      <w:r>
        <w:rPr>
          <w:rFonts w:ascii="Arial" w:cs="Arial" w:eastAsia="Arial" w:hAnsi="Arial"/>
          <w:sz w:val="35"/>
          <w:szCs w:val="35"/>
          <w:i w:val="1"/>
          <w:iCs w:val="1"/>
          <w:color w:val="auto"/>
          <w:vertAlign w:val="subscript"/>
        </w:rPr>
        <w:t>OS+Y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-144145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99" w:lineRule="exact"/>
        <w:rPr>
          <w:sz w:val="20"/>
          <w:szCs w:val="20"/>
          <w:color w:val="auto"/>
        </w:rPr>
      </w:pPr>
    </w:p>
    <w:p>
      <w:pPr>
        <w:ind w:left="660" w:right="680"/>
        <w:spacing w:after="0" w:line="500" w:lineRule="auto"/>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conversion rate in effect immediately before the open of business on the ex-dividend date for such distribution;</w:t>
      </w:r>
      <w:r>
        <w:rPr>
          <w:rFonts w:ascii="Arial" w:cs="Arial" w:eastAsia="Arial" w:hAnsi="Arial"/>
          <w:sz w:val="18"/>
          <w:szCs w:val="18"/>
          <w:i w:val="1"/>
          <w:iCs w:val="1"/>
          <w:color w:val="auto"/>
        </w:rPr>
        <w:t xml:space="preserve"> CR</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the conversion rate in effect immediately after the open of business on such ex-dividend date;</w:t>
      </w:r>
    </w:p>
    <w:p>
      <w:pPr>
        <w:spacing w:after="0" w:line="2" w:lineRule="exact"/>
        <w:rPr>
          <w:sz w:val="20"/>
          <w:szCs w:val="20"/>
          <w:color w:val="auto"/>
        </w:rPr>
      </w:pPr>
    </w:p>
    <w:p>
      <w:pPr>
        <w:ind w:left="1160" w:right="620" w:hanging="607"/>
        <w:spacing w:after="0" w:line="267" w:lineRule="auto"/>
        <w:rPr>
          <w:sz w:val="20"/>
          <w:szCs w:val="20"/>
          <w:color w:val="auto"/>
        </w:rPr>
      </w:pPr>
      <w:r>
        <w:rPr>
          <w:rFonts w:ascii="Arial" w:cs="Arial" w:eastAsia="Arial" w:hAnsi="Arial"/>
          <w:sz w:val="18"/>
          <w:szCs w:val="18"/>
          <w:i w:val="1"/>
          <w:iCs w:val="1"/>
          <w:color w:val="auto"/>
        </w:rPr>
        <w:t xml:space="preserve">OS </w:t>
      </w:r>
      <w:r>
        <w:rPr>
          <w:rFonts w:ascii="Arial" w:cs="Arial" w:eastAsia="Arial" w:hAnsi="Arial"/>
          <w:sz w:val="18"/>
          <w:szCs w:val="18"/>
          <w:color w:val="auto"/>
        </w:rPr>
        <w:t>= the number of shares of our common stock outstanding immediately before the open of business on such ex-dividend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8" w:lineRule="exact"/>
        <w:rPr>
          <w:sz w:val="20"/>
          <w:szCs w:val="20"/>
          <w:color w:val="auto"/>
        </w:rPr>
      </w:pPr>
    </w:p>
    <w:p>
      <w:pPr>
        <w:ind w:left="960" w:hanging="399"/>
        <w:spacing w:after="0"/>
        <w:tabs>
          <w:tab w:leader="none" w:pos="9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 the total number of shares of our common stock issuable pursuant to such rights, options or warrants; and</w:t>
      </w:r>
    </w:p>
    <w:p>
      <w:pPr>
        <w:spacing w:after="0" w:line="212" w:lineRule="exact"/>
        <w:rPr>
          <w:sz w:val="20"/>
          <w:szCs w:val="20"/>
          <w:color w:val="auto"/>
        </w:rPr>
      </w:pPr>
    </w:p>
    <w:p>
      <w:pPr>
        <w:ind w:left="1160" w:right="600" w:hanging="599"/>
        <w:spacing w:after="0" w:line="238" w:lineRule="auto"/>
        <w:tabs>
          <w:tab w:leader="none" w:pos="945"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 a number of shares of our common stock obtained by dividing (x) the aggregate price payable to exercise such rights, options or warrants by (y) the average of the last reported sale prices per share of our common stock for the 10 consecutive trading days ending on, and including, the trading day immediately before the date such distribution is announced.</w:t>
      </w:r>
    </w:p>
    <w:p>
      <w:pPr>
        <w:spacing w:after="0" w:line="97"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Any adjustment to the conversion rate pursuant to this paragraph (2) will be made successively whenever any such rights, options or warrants are distributed and, for the avoidance of doubt, will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9" w:right="4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 xml:space="preserve">become effective as of the time set forth in the definition of </w:t>
      </w: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r>
        <w:rPr>
          <w:rFonts w:ascii="Arial" w:cs="Arial" w:eastAsia="Arial" w:hAnsi="Arial"/>
          <w:sz w:val="18"/>
          <w:szCs w:val="18"/>
          <w:color w:val="auto"/>
        </w:rPr>
        <w:t xml:space="preserve"> above. 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our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our common stock actually delivered upon exercise of such rights, option or warrants.</w:t>
      </w:r>
    </w:p>
    <w:p>
      <w:pPr>
        <w:spacing w:after="0" w:line="95" w:lineRule="exact"/>
        <w:rPr>
          <w:sz w:val="20"/>
          <w:szCs w:val="20"/>
          <w:color w:val="auto"/>
        </w:rPr>
      </w:pPr>
    </w:p>
    <w:p>
      <w:pPr>
        <w:ind w:left="660" w:right="60"/>
        <w:spacing w:after="0" w:line="236" w:lineRule="auto"/>
        <w:rPr>
          <w:sz w:val="20"/>
          <w:szCs w:val="20"/>
          <w:color w:val="auto"/>
        </w:rPr>
      </w:pPr>
      <w:r>
        <w:rPr>
          <w:rFonts w:ascii="Arial" w:cs="Arial" w:eastAsia="Arial" w:hAnsi="Arial"/>
          <w:sz w:val="18"/>
          <w:szCs w:val="18"/>
          <w:color w:val="auto"/>
        </w:rPr>
        <w:t>For purposes of this paragraph (2) and the provisions described above under the caption “—When the Notes May Be Converted— Conversion upon Specified Corporate Events—Certain Distributions,” in determining whether any rights, options or warrants entitle holders of our common stock to subscribe for or purchase shares of our common stock at a price per share that is less than the average of the last reported sale prices per share of our common stock for the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we receive for such rights, options or warrants and any amount payable on exercise thereof, with the value of such consideration, if not cash, to be determined by our board of directors.</w:t>
      </w:r>
    </w:p>
    <w:p>
      <w:pPr>
        <w:spacing w:after="0" w:line="95" w:lineRule="exact"/>
        <w:rPr>
          <w:sz w:val="20"/>
          <w:szCs w:val="20"/>
          <w:color w:val="auto"/>
        </w:rPr>
      </w:pPr>
    </w:p>
    <w:p>
      <w:pPr>
        <w:ind w:left="660" w:hanging="54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644"/>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Distributions Other than Spin-Offs</w:t>
      </w:r>
      <w:r>
        <w:rPr>
          <w:rFonts w:ascii="Arial" w:cs="Arial" w:eastAsia="Arial" w:hAnsi="Arial"/>
          <w:sz w:val="18"/>
          <w:szCs w:val="18"/>
          <w:color w:val="auto"/>
        </w:rPr>
        <w:t>. If we distribute shares of our “capital stock” (as defined below under the caption “—</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Definitions”), evidences of our indebtedness or other assets or property of ours, or rights, options or warrants to acquire our capital stock or other securities, to all or substantially all holders of our common stock, excluding:</w:t>
      </w:r>
    </w:p>
    <w:p>
      <w:pPr>
        <w:spacing w:after="0" w:line="100" w:lineRule="exact"/>
        <w:rPr>
          <w:rFonts w:ascii="Arial" w:cs="Arial" w:eastAsia="Arial" w:hAnsi="Arial"/>
          <w:sz w:val="18"/>
          <w:szCs w:val="18"/>
          <w:color w:val="auto"/>
        </w:rPr>
      </w:pPr>
    </w:p>
    <w:p>
      <w:pPr>
        <w:ind w:left="1420" w:right="20" w:hanging="211"/>
        <w:spacing w:after="0"/>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dividends, distributions, rights, options or warrants for which an adjustment to the conversion rate is required (or would be required without regard to the “deferral exception” (as defined below under the caption “—The Deferral Exception”)) pursuant to paragraph (1) or (2) above;</w:t>
      </w:r>
    </w:p>
    <w:p>
      <w:pPr>
        <w:spacing w:after="0" w:line="108" w:lineRule="exact"/>
        <w:rPr>
          <w:rFonts w:ascii="Arial" w:cs="Arial" w:eastAsia="Arial" w:hAnsi="Arial"/>
          <w:sz w:val="18"/>
          <w:szCs w:val="18"/>
          <w:color w:val="auto"/>
        </w:rPr>
      </w:pPr>
    </w:p>
    <w:p>
      <w:pPr>
        <w:ind w:left="1420" w:right="100" w:hanging="211"/>
        <w:spacing w:after="0" w:line="246"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for which an adjustment to the conversion rate is required (or would be required without regard to the deferral exception) pursuant to paragraph (4) below;</w:t>
      </w:r>
    </w:p>
    <w:p>
      <w:pPr>
        <w:spacing w:after="0" w:line="102" w:lineRule="exact"/>
        <w:rPr>
          <w:rFonts w:ascii="Arial" w:cs="Arial" w:eastAsia="Arial" w:hAnsi="Arial"/>
          <w:sz w:val="18"/>
          <w:szCs w:val="18"/>
          <w:color w:val="auto"/>
        </w:rPr>
      </w:pPr>
    </w:p>
    <w:p>
      <w:pPr>
        <w:ind w:left="1420" w:right="60" w:hanging="211"/>
        <w:spacing w:after="0" w:line="246"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rights issued or otherwise distributed pursuant to a stockholder rights plan, except to the extent provided below under the caption “—Stockholder Rights Plans”;</w:t>
      </w:r>
    </w:p>
    <w:p>
      <w:pPr>
        <w:spacing w:after="0" w:line="102" w:lineRule="exact"/>
        <w:rPr>
          <w:rFonts w:ascii="Arial" w:cs="Arial" w:eastAsia="Arial" w:hAnsi="Arial"/>
          <w:sz w:val="18"/>
          <w:szCs w:val="18"/>
          <w:color w:val="auto"/>
        </w:rPr>
      </w:pPr>
    </w:p>
    <w:p>
      <w:pPr>
        <w:ind w:left="1420" w:right="280" w:hanging="211"/>
        <w:spacing w:after="0" w:line="246"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spin-offs for which an adjustment to the conversion rate is required (or would be required without regard to the deferral exception) pursuant to paragraph (3)(b) below;</w:t>
      </w:r>
    </w:p>
    <w:p>
      <w:pPr>
        <w:spacing w:after="0" w:line="102" w:lineRule="exact"/>
        <w:rPr>
          <w:rFonts w:ascii="Arial" w:cs="Arial" w:eastAsia="Arial" w:hAnsi="Arial"/>
          <w:sz w:val="18"/>
          <w:szCs w:val="18"/>
          <w:color w:val="auto"/>
        </w:rPr>
      </w:pPr>
    </w:p>
    <w:p>
      <w:pPr>
        <w:ind w:left="1420" w:right="760" w:hanging="211"/>
        <w:spacing w:after="0" w:line="246"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 distribution solely pursuant to a tender offer or exchange offer for shares of our common stock, as to which the provisions described below in paragraph (5) will apply; and</w:t>
      </w:r>
    </w:p>
    <w:p>
      <w:pPr>
        <w:spacing w:after="0" w:line="102" w:lineRule="exact"/>
        <w:rPr>
          <w:rFonts w:ascii="Arial" w:cs="Arial" w:eastAsia="Arial" w:hAnsi="Arial"/>
          <w:sz w:val="18"/>
          <w:szCs w:val="18"/>
          <w:color w:val="auto"/>
        </w:rPr>
      </w:pPr>
    </w:p>
    <w:p>
      <w:pPr>
        <w:ind w:left="1420" w:right="380" w:hanging="211"/>
        <w:spacing w:after="0" w:line="246"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 distribution solely pursuant to a common stock change event, as to which the provisions described below under the caption “—Effect of Common Stock Change Event” will apply,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ind w:right="3880"/>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221" w:lineRule="exact"/>
        <w:rPr>
          <w:sz w:val="20"/>
          <w:szCs w:val="20"/>
          <w:color w:val="auto"/>
        </w:rPr>
      </w:pPr>
    </w:p>
    <w:tbl>
      <w:tblPr>
        <w:tblLayout w:type="fixed"/>
        <w:tblInd w:w="4080" w:type="dxa"/>
        <w:tblCellMar>
          <w:top w:w="0" w:type="dxa"/>
          <w:left w:w="0" w:type="dxa"/>
          <w:bottom w:w="0" w:type="dxa"/>
          <w:right w:w="0" w:type="dxa"/>
        </w:tblCellMar>
      </w:tblPr>
      <w:tr>
        <w:trPr>
          <w:trHeight w:val="221"/>
        </w:trPr>
        <w:tc>
          <w:tcPr>
            <w:tcW w:w="540" w:type="dxa"/>
            <w:vAlign w:val="bottom"/>
            <w:vMerge w:val="restart"/>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tc>
        <w:tc>
          <w:tcPr>
            <w:tcW w:w="100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  CR</w:t>
            </w:r>
            <w:r>
              <w:rPr>
                <w:rFonts w:ascii="Arial" w:cs="Arial" w:eastAsia="Arial" w:hAnsi="Arial"/>
                <w:sz w:val="15"/>
                <w:szCs w:val="15"/>
                <w:i w:val="1"/>
                <w:iCs w:val="1"/>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i w:val="1"/>
                <w:iCs w:val="1"/>
                <w:color w:val="auto"/>
                <w:w w:val="99"/>
              </w:rPr>
              <w:t>SP</w:t>
            </w:r>
          </w:p>
        </w:tc>
        <w:tc>
          <w:tcPr>
            <w:tcW w:w="0" w:type="dxa"/>
            <w:vAlign w:val="bottom"/>
          </w:tcPr>
          <w:p>
            <w:pPr>
              <w:spacing w:after="0"/>
              <w:rPr>
                <w:sz w:val="1"/>
                <w:szCs w:val="1"/>
                <w:color w:val="auto"/>
              </w:rPr>
            </w:pPr>
          </w:p>
        </w:tc>
      </w:tr>
      <w:tr>
        <w:trPr>
          <w:trHeight w:val="107"/>
        </w:trPr>
        <w:tc>
          <w:tcPr>
            <w:tcW w:w="5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200" w:type="dxa"/>
            <w:vAlign w:val="bottom"/>
            <w:vMerge w:val="restart"/>
          </w:tcPr>
          <w:p>
            <w:pPr>
              <w:jc w:val="center"/>
              <w:ind w:left="10"/>
              <w:spacing w:after="0"/>
              <w:rPr>
                <w:sz w:val="20"/>
                <w:szCs w:val="20"/>
                <w:color w:val="auto"/>
              </w:rPr>
            </w:pPr>
            <w:r>
              <w:rPr>
                <w:rFonts w:ascii="Arial" w:cs="Arial" w:eastAsia="Arial" w:hAnsi="Arial"/>
                <w:sz w:val="18"/>
                <w:szCs w:val="18"/>
                <w:i w:val="1"/>
                <w:iCs w:val="1"/>
                <w:color w:val="auto"/>
                <w:w w:val="99"/>
              </w:rPr>
              <w:t>SP – FMV</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60"/>
          </w:cols>
          <w:pgMar w:left="320" w:top="459" w:right="519" w:bottom="1440" w:gutter="0" w:footer="0" w:header="0"/>
        </w:sectPr>
      </w:pP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7"/>
          <w:szCs w:val="17"/>
          <w:i w:val="1"/>
          <w:iCs w:val="1"/>
          <w:color w:val="auto"/>
        </w:rPr>
        <w:t>CR</w:t>
      </w:r>
      <w:r>
        <w:rPr>
          <w:rFonts w:ascii="Arial" w:cs="Arial" w:eastAsia="Arial" w:hAnsi="Arial"/>
          <w:sz w:val="14"/>
          <w:szCs w:val="14"/>
          <w:i w:val="1"/>
          <w:iCs w:val="1"/>
          <w:color w:val="auto"/>
        </w:rPr>
        <w:t>0</w:t>
      </w: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7"/>
          <w:szCs w:val="17"/>
          <w:i w:val="1"/>
          <w:iCs w:val="1"/>
          <w:color w:val="auto"/>
        </w:rPr>
        <w:t>CR</w:t>
      </w:r>
      <w:r>
        <w:rPr>
          <w:rFonts w:ascii="Arial" w:cs="Arial" w:eastAsia="Arial" w:hAnsi="Arial"/>
          <w:sz w:val="14"/>
          <w:szCs w:val="14"/>
          <w:i w:val="1"/>
          <w:iCs w:val="1"/>
          <w:color w:val="auto"/>
        </w:rPr>
        <w:t>1</w:t>
      </w:r>
    </w:p>
    <w:p>
      <w:pPr>
        <w:spacing w:after="0" w:line="223"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15" w:right="1340" w:hanging="215"/>
        <w:spacing w:after="0" w:line="246"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conversion rate in effect immediately before the open of business on the ex-dividend date for such distribution;</w:t>
      </w:r>
    </w:p>
    <w:p>
      <w:pPr>
        <w:spacing w:after="0" w:line="196" w:lineRule="exact"/>
        <w:rPr>
          <w:rFonts w:ascii="Arial" w:cs="Arial" w:eastAsia="Arial" w:hAnsi="Arial"/>
          <w:sz w:val="18"/>
          <w:szCs w:val="18"/>
          <w:color w:val="auto"/>
        </w:rPr>
      </w:pPr>
    </w:p>
    <w:p>
      <w:pPr>
        <w:ind w:left="215" w:hanging="215"/>
        <w:spacing w:after="0"/>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conversion rate in effect immediately after the open of business on such ex-dividend date;</w:t>
      </w:r>
    </w:p>
    <w:p>
      <w:pPr>
        <w:spacing w:after="0" w:line="211" w:lineRule="exact"/>
        <w:rPr>
          <w:rFonts w:ascii="Arial" w:cs="Arial" w:eastAsia="Arial" w:hAnsi="Arial"/>
          <w:sz w:val="18"/>
          <w:szCs w:val="18"/>
          <w:color w:val="auto"/>
        </w:rPr>
      </w:pPr>
    </w:p>
    <w:p>
      <w:pPr>
        <w:jc w:val="both"/>
        <w:ind w:left="215" w:right="1240" w:hanging="215"/>
        <w:spacing w:after="0"/>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average of the last reported sale prices per share of our common stock for the 10 consecutive trading days ending on, and including, the trading day immediately before such ex-dividend date; and</w:t>
      </w:r>
    </w:p>
    <w:p>
      <w:pPr>
        <w:spacing w:after="0" w:line="185" w:lineRule="exact"/>
        <w:rPr>
          <w:sz w:val="20"/>
          <w:szCs w:val="20"/>
          <w:color w:val="auto"/>
        </w:rPr>
      </w:pPr>
    </w:p>
    <w:p>
      <w:pPr>
        <w:sectPr>
          <w:pgSz w:w="11900" w:h="16838" w:orient="portrait"/>
          <w:cols w:equalWidth="0" w:num="2">
            <w:col w:w="1680" w:space="165"/>
            <w:col w:w="9215"/>
          </w:cols>
          <w:pgMar w:left="320" w:top="459" w:right="519" w:bottom="1440" w:gutter="0" w:footer="0" w:header="0"/>
          <w:type w:val="continuous"/>
        </w:sectPr>
      </w:pPr>
    </w:p>
    <w:p>
      <w:pPr>
        <w:ind w:left="2060" w:right="1220" w:hanging="728"/>
        <w:spacing w:after="0" w:line="250" w:lineRule="auto"/>
        <w:rPr>
          <w:sz w:val="20"/>
          <w:szCs w:val="20"/>
          <w:color w:val="auto"/>
        </w:rPr>
      </w:pPr>
      <w:r>
        <w:rPr>
          <w:rFonts w:ascii="Arial" w:cs="Arial" w:eastAsia="Arial" w:hAnsi="Arial"/>
          <w:sz w:val="18"/>
          <w:szCs w:val="18"/>
          <w:i w:val="1"/>
          <w:iCs w:val="1"/>
          <w:color w:val="auto"/>
        </w:rPr>
        <w:t xml:space="preserve">FMV </w:t>
      </w:r>
      <w:r>
        <w:rPr>
          <w:rFonts w:ascii="Arial" w:cs="Arial" w:eastAsia="Arial" w:hAnsi="Arial"/>
          <w:sz w:val="18"/>
          <w:szCs w:val="18"/>
          <w:color w:val="auto"/>
        </w:rPr>
        <w:t>= the fair market value (as determined by our board of directors), as of such ex-dividend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capital stock, evidences of indebtedness, assets, property, rights, options or warrants distributed per share of our common stock pursuant to such distribution.</w:t>
      </w:r>
    </w:p>
    <w:p>
      <w:pPr>
        <w:spacing w:after="0" w:line="87" w:lineRule="exact"/>
        <w:rPr>
          <w:sz w:val="20"/>
          <w:szCs w:val="20"/>
          <w:color w:val="auto"/>
        </w:rPr>
      </w:pPr>
    </w:p>
    <w:p>
      <w:pPr>
        <w:ind w:left="1320"/>
        <w:spacing w:after="0" w:line="237" w:lineRule="auto"/>
        <w:rPr>
          <w:sz w:val="20"/>
          <w:szCs w:val="20"/>
          <w:color w:val="auto"/>
        </w:rPr>
      </w:pPr>
      <w:r>
        <w:rPr>
          <w:rFonts w:ascii="Arial" w:cs="Arial" w:eastAsia="Arial" w:hAnsi="Arial"/>
          <w:sz w:val="18"/>
          <w:szCs w:val="18"/>
          <w:color w:val="auto"/>
        </w:rPr>
        <w:t xml:space="preserve">For the avoidance of doubt, any adjustment to the conversion rate pursuant to this paragraph (3)(a) will become effective as of the time set forth in the definition of </w:t>
      </w: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r>
        <w:rPr>
          <w:rFonts w:ascii="Arial" w:cs="Arial" w:eastAsia="Arial" w:hAnsi="Arial"/>
          <w:sz w:val="18"/>
          <w:szCs w:val="18"/>
          <w:color w:val="auto"/>
        </w:rPr>
        <w:t xml:space="preserve"> above. However, if </w:t>
      </w:r>
      <w:r>
        <w:rPr>
          <w:rFonts w:ascii="Arial" w:cs="Arial" w:eastAsia="Arial" w:hAnsi="Arial"/>
          <w:sz w:val="18"/>
          <w:szCs w:val="18"/>
          <w:i w:val="1"/>
          <w:iCs w:val="1"/>
          <w:color w:val="auto"/>
        </w:rPr>
        <w:t>FMV</w:t>
      </w:r>
      <w:r>
        <w:rPr>
          <w:rFonts w:ascii="Arial" w:cs="Arial" w:eastAsia="Arial" w:hAnsi="Arial"/>
          <w:sz w:val="18"/>
          <w:szCs w:val="18"/>
          <w:color w:val="auto"/>
        </w:rPr>
        <w:t xml:space="preserve"> is equal to or greater than </w:t>
      </w:r>
      <w:r>
        <w:rPr>
          <w:rFonts w:ascii="Arial" w:cs="Arial" w:eastAsia="Arial" w:hAnsi="Arial"/>
          <w:sz w:val="18"/>
          <w:szCs w:val="18"/>
          <w:i w:val="1"/>
          <w:iCs w:val="1"/>
          <w:color w:val="auto"/>
        </w:rPr>
        <w:t>SP</w:t>
      </w:r>
      <w:r>
        <w:rPr>
          <w:rFonts w:ascii="Arial" w:cs="Arial" w:eastAsia="Arial" w:hAnsi="Arial"/>
          <w:sz w:val="18"/>
          <w:szCs w:val="18"/>
          <w:color w:val="auto"/>
        </w:rPr>
        <w:t>, then, in lieu of the foregoing adjustment to the conversion rate, each noteholder will receive, for each $ 1,000 principal amount of notes held by such noteholder on the record date for such distribution, at the same time and on the same terms as holders of our common stock, the amount and kind of shares of capital stock, evidences of indebtedness, assets, property, rights, options or warrants that such noteholder would have received if such noteholder had owned, on such record date, a number of shares of our common stock equal to the conversion rate in effect on such record date.</w:t>
      </w:r>
    </w:p>
    <w:p>
      <w:pPr>
        <w:spacing w:after="0" w:line="95" w:lineRule="exact"/>
        <w:rPr>
          <w:sz w:val="20"/>
          <w:szCs w:val="20"/>
          <w:color w:val="auto"/>
        </w:rPr>
      </w:pPr>
    </w:p>
    <w:p>
      <w:pPr>
        <w:ind w:left="1320" w:right="200"/>
        <w:spacing w:after="0" w:line="274" w:lineRule="auto"/>
        <w:rPr>
          <w:sz w:val="20"/>
          <w:szCs w:val="20"/>
          <w:color w:val="auto"/>
        </w:rPr>
      </w:pPr>
      <w:r>
        <w:rPr>
          <w:rFonts w:ascii="Arial" w:cs="Arial" w:eastAsia="Arial" w:hAnsi="Arial"/>
          <w:sz w:val="17"/>
          <w:szCs w:val="17"/>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62" w:lineRule="exact"/>
        <w:rPr>
          <w:sz w:val="20"/>
          <w:szCs w:val="20"/>
          <w:color w:val="auto"/>
        </w:rPr>
      </w:pPr>
    </w:p>
    <w:p>
      <w:pPr>
        <w:ind w:left="1300" w:right="60" w:hanging="644"/>
        <w:spacing w:after="0" w:line="23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Spin-Offs</w:t>
      </w:r>
      <w:r>
        <w:rPr>
          <w:rFonts w:ascii="Arial" w:cs="Arial" w:eastAsia="Arial" w:hAnsi="Arial"/>
          <w:sz w:val="18"/>
          <w:szCs w:val="18"/>
          <w:color w:val="auto"/>
        </w:rPr>
        <w:t>. If we distribute or dividend shares of capital stock of any class or series, or similar equity interests, of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an “affiliate” or “subsidiary” (as those terms are defined below under the caption “—Definitions”) or other business unit of ours to all or substantially all holders of our common stock (other than solely pursuant to (x) a common stock change event, as to which the provisions described below under the caption “—Effect of Common Stock Change Event” will apply; or (y) a tender offer or exchange offer for shares of our common stock, as to which the provisions described below in paragraph (5) will apply), and such capital stock or equity interests are listed or quoted (or will be listed or quoted upon the consummation of the transaction) on a U.S. national securities exchange (a “spin-off”), then the conversion rate will be increased based on the following formula:</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221"/>
        </w:trPr>
        <w:tc>
          <w:tcPr>
            <w:tcW w:w="3300" w:type="dxa"/>
            <w:vAlign w:val="bottom"/>
            <w:vMerge w:val="restart"/>
          </w:tcPr>
          <w:p>
            <w:pPr>
              <w:ind w:left="27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tc>
        <w:tc>
          <w:tcPr>
            <w:tcW w:w="100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  CR</w:t>
            </w:r>
            <w:r>
              <w:rPr>
                <w:rFonts w:ascii="Arial" w:cs="Arial" w:eastAsia="Arial" w:hAnsi="Arial"/>
                <w:sz w:val="15"/>
                <w:szCs w:val="15"/>
                <w:i w:val="1"/>
                <w:iCs w:val="1"/>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i w:val="1"/>
                <w:iCs w:val="1"/>
                <w:color w:val="auto"/>
                <w:w w:val="99"/>
              </w:rPr>
              <w:t>FMV + SP</w:t>
            </w:r>
          </w:p>
        </w:tc>
        <w:tc>
          <w:tcPr>
            <w:tcW w:w="0" w:type="dxa"/>
            <w:vAlign w:val="bottom"/>
          </w:tcPr>
          <w:p>
            <w:pPr>
              <w:spacing w:after="0"/>
              <w:rPr>
                <w:sz w:val="1"/>
                <w:szCs w:val="1"/>
                <w:color w:val="auto"/>
              </w:rPr>
            </w:pPr>
          </w:p>
        </w:tc>
      </w:tr>
      <w:tr>
        <w:trPr>
          <w:trHeight w:val="107"/>
        </w:trPr>
        <w:tc>
          <w:tcPr>
            <w:tcW w:w="33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200" w:type="dxa"/>
            <w:vAlign w:val="bottom"/>
            <w:vMerge w:val="restart"/>
          </w:tcPr>
          <w:p>
            <w:pPr>
              <w:jc w:val="center"/>
              <w:ind w:left="30"/>
              <w:spacing w:after="0"/>
              <w:rPr>
                <w:sz w:val="20"/>
                <w:szCs w:val="20"/>
                <w:color w:val="auto"/>
              </w:rPr>
            </w:pPr>
            <w:r>
              <w:rPr>
                <w:rFonts w:ascii="Arial" w:cs="Arial" w:eastAsia="Arial" w:hAnsi="Arial"/>
                <w:sz w:val="18"/>
                <w:szCs w:val="18"/>
                <w:i w:val="1"/>
                <w:iCs w:val="1"/>
                <w:color w:val="auto"/>
                <w:w w:val="99"/>
              </w:rPr>
              <w:t>SP</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Arial" w:cs="Arial" w:eastAsia="Arial" w:hAnsi="Arial"/>
                <w:sz w:val="18"/>
                <w:szCs w:val="18"/>
                <w:color w:val="auto"/>
              </w:rPr>
              <w:t>where: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840" w:right="1280" w:hanging="782"/>
        <w:spacing w:after="0" w:line="246" w:lineRule="auto"/>
        <w:tabs>
          <w:tab w:leader="none" w:pos="18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0</w:t>
      </w:r>
      <w:r>
        <w:rPr>
          <w:sz w:val="20"/>
          <w:szCs w:val="20"/>
          <w:color w:val="auto"/>
        </w:rPr>
        <w:tab/>
      </w:r>
      <w:r>
        <w:rPr>
          <w:rFonts w:ascii="Arial" w:cs="Arial" w:eastAsia="Arial" w:hAnsi="Arial"/>
          <w:sz w:val="18"/>
          <w:szCs w:val="18"/>
          <w:color w:val="auto"/>
        </w:rPr>
        <w:t>= the conversion rate in effect immediately before the open of business on the ex-dividend date for such spin-off;</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060"/>
          </w:cols>
          <w:pgMar w:left="320" w:top="459" w:right="5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ind w:left="1340"/>
        <w:spacing w:after="0"/>
        <w:tabs>
          <w:tab w:leader="none" w:pos="1900" w:val="left"/>
          <w:tab w:leader="none" w:pos="218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conversion rate in effect immediately after the open of business on such ex-dividend date;</w:t>
      </w:r>
    </w:p>
    <w:p>
      <w:pPr>
        <w:spacing w:after="0" w:line="207" w:lineRule="exact"/>
        <w:rPr>
          <w:sz w:val="20"/>
          <w:szCs w:val="20"/>
          <w:color w:val="auto"/>
        </w:rPr>
      </w:pPr>
    </w:p>
    <w:p>
      <w:pPr>
        <w:ind w:left="1340"/>
        <w:spacing w:after="0"/>
        <w:tabs>
          <w:tab w:leader="none" w:pos="1900" w:val="left"/>
          <w:tab w:leader="none" w:pos="2180" w:val="left"/>
        </w:tabs>
        <w:rPr>
          <w:sz w:val="20"/>
          <w:szCs w:val="20"/>
          <w:color w:val="auto"/>
        </w:rPr>
      </w:pPr>
      <w:r>
        <w:rPr>
          <w:rFonts w:ascii="Arial" w:cs="Arial" w:eastAsia="Arial" w:hAnsi="Arial"/>
          <w:sz w:val="18"/>
          <w:szCs w:val="18"/>
          <w:i w:val="1"/>
          <w:iCs w:val="1"/>
          <w:color w:val="auto"/>
        </w:rPr>
        <w:t>FMV</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product of (x) the average of the last reported sale prices per share or unit of the capital stock</w:t>
      </w:r>
    </w:p>
    <w:p>
      <w:pPr>
        <w:spacing w:after="0" w:line="18" w:lineRule="exact"/>
        <w:rPr>
          <w:sz w:val="20"/>
          <w:szCs w:val="20"/>
          <w:color w:val="auto"/>
        </w:rPr>
      </w:pPr>
    </w:p>
    <w:p>
      <w:pPr>
        <w:ind w:left="2200" w:right="1260"/>
        <w:spacing w:after="0" w:line="237" w:lineRule="auto"/>
        <w:rPr>
          <w:sz w:val="20"/>
          <w:szCs w:val="20"/>
          <w:color w:val="auto"/>
        </w:rPr>
      </w:pPr>
      <w:r>
        <w:rPr>
          <w:rFonts w:ascii="Arial" w:cs="Arial" w:eastAsia="Arial" w:hAnsi="Arial"/>
          <w:sz w:val="18"/>
          <w:szCs w:val="18"/>
          <w:color w:val="auto"/>
        </w:rPr>
        <w:t>or equity interests distributed in such spin-off over the 10 consecutive trading day period (the “spin-off valuation period”) beginning on, and including, such ex-dividend date (such average to be determined as if references to our common stock in the definitions of “last reported sale price,” “trading day” and “market disruption event” were instead references to such capital stock or equity interests); and (y) the number of shares or units of such capital stock or equity interests distributed per share of our common stock in such spin-off; and</w:t>
      </w:r>
    </w:p>
    <w:p>
      <w:pPr>
        <w:spacing w:after="0" w:line="182" w:lineRule="exact"/>
        <w:rPr>
          <w:sz w:val="20"/>
          <w:szCs w:val="20"/>
          <w:color w:val="auto"/>
        </w:rPr>
      </w:pPr>
    </w:p>
    <w:p>
      <w:pPr>
        <w:ind w:left="1340"/>
        <w:spacing w:after="0"/>
        <w:tabs>
          <w:tab w:leader="none" w:pos="1900" w:val="left"/>
          <w:tab w:leader="none" w:pos="2180" w:val="left"/>
        </w:tabs>
        <w:rPr>
          <w:sz w:val="20"/>
          <w:szCs w:val="20"/>
          <w:color w:val="auto"/>
        </w:rPr>
      </w:pPr>
      <w:r>
        <w:rPr>
          <w:rFonts w:ascii="Arial" w:cs="Arial" w:eastAsia="Arial" w:hAnsi="Arial"/>
          <w:sz w:val="18"/>
          <w:szCs w:val="18"/>
          <w:i w:val="1"/>
          <w:iCs w:val="1"/>
          <w:color w:val="auto"/>
        </w:rPr>
        <w:t>SP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average of the last reported sale prices per share of our common stock for each trading day</w:t>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in the spin-off valuation period.</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adjustment to the conversion rate pursuant to this paragraph (3)(b) will be calculated as of the close of business on the last trading day of the spin-off valuation period but will be given effect immediately after the open of business on the ex-dividend date for the spin-off, with retroactive effect. If a note is converted and the conversion date (in the case of physical settlement) or any VWAP trading day of the applicable observation period (in the case of cash settlement or combination settlement) occurs during the spin-off valuation period, then, notwithstanding anything to the contrary, we will, if necessary, delay the settlement of such conversion until the second business day after the last day of the spin-off valuation period.</w:t>
      </w:r>
    </w:p>
    <w:p>
      <w:pPr>
        <w:spacing w:after="0" w:line="284" w:lineRule="exact"/>
        <w:rPr>
          <w:sz w:val="20"/>
          <w:szCs w:val="20"/>
          <w:color w:val="auto"/>
        </w:rPr>
      </w:pPr>
    </w:p>
    <w:p>
      <w:pPr>
        <w:ind w:left="1320" w:right="200"/>
        <w:spacing w:after="0"/>
        <w:rPr>
          <w:sz w:val="20"/>
          <w:szCs w:val="20"/>
          <w:color w:val="auto"/>
        </w:rPr>
      </w:pPr>
      <w:r>
        <w:rPr>
          <w:rFonts w:ascii="Arial" w:cs="Arial" w:eastAsia="Arial" w:hAnsi="Arial"/>
          <w:sz w:val="18"/>
          <w:szCs w:val="18"/>
          <w:color w:val="auto"/>
        </w:rPr>
        <w:t>To the extent any dividend or distribution of the type described above in this paragraph (3)(b) is declared but not made or paid, the conversion rate will be readjusted to the conversion rate that would then be in effect had the adjustment been made on the basis of only the dividend or distribution, if any, actually made or paid.</w:t>
      </w:r>
    </w:p>
    <w:p>
      <w:pPr>
        <w:spacing w:after="0" w:line="90" w:lineRule="exact"/>
        <w:rPr>
          <w:sz w:val="20"/>
          <w:szCs w:val="20"/>
          <w:color w:val="auto"/>
        </w:rPr>
      </w:pPr>
    </w:p>
    <w:p>
      <w:pPr>
        <w:ind w:left="660" w:right="500" w:hanging="544"/>
        <w:spacing w:after="0" w:line="26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distribution is made to all or substantially all holders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then the conversion rate will be increased based on the following formula:</w:t>
      </w:r>
    </w:p>
    <w:p>
      <w:pPr>
        <w:spacing w:after="0" w:line="187" w:lineRule="exact"/>
        <w:rPr>
          <w:sz w:val="20"/>
          <w:szCs w:val="20"/>
          <w:color w:val="auto"/>
        </w:rPr>
      </w:pPr>
    </w:p>
    <w:tbl>
      <w:tblPr>
        <w:tblLayout w:type="fixed"/>
        <w:tblInd w:w="4280" w:type="dxa"/>
        <w:tblCellMar>
          <w:top w:w="0" w:type="dxa"/>
          <w:left w:w="0" w:type="dxa"/>
          <w:bottom w:w="0" w:type="dxa"/>
          <w:right w:w="0" w:type="dxa"/>
        </w:tblCellMar>
      </w:tblPr>
      <w:tr>
        <w:trPr>
          <w:trHeight w:val="221"/>
        </w:trPr>
        <w:tc>
          <w:tcPr>
            <w:tcW w:w="560" w:type="dxa"/>
            <w:vAlign w:val="bottom"/>
            <w:vMerge w:val="restart"/>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tc>
        <w:tc>
          <w:tcPr>
            <w:tcW w:w="100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  CR</w:t>
            </w:r>
            <w:r>
              <w:rPr>
                <w:rFonts w:ascii="Arial" w:cs="Arial" w:eastAsia="Arial" w:hAnsi="Arial"/>
                <w:sz w:val="15"/>
                <w:szCs w:val="15"/>
                <w:i w:val="1"/>
                <w:iCs w:val="1"/>
                <w:color w:val="auto"/>
              </w:rPr>
              <w:t>0</w:t>
            </w:r>
          </w:p>
        </w:tc>
        <w:tc>
          <w:tcPr>
            <w:tcW w:w="2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i w:val="1"/>
                <w:iCs w:val="1"/>
                <w:color w:val="auto"/>
                <w:w w:val="99"/>
              </w:rPr>
              <w:t>SP</w:t>
            </w:r>
          </w:p>
        </w:tc>
        <w:tc>
          <w:tcPr>
            <w:tcW w:w="0" w:type="dxa"/>
            <w:vAlign w:val="bottom"/>
          </w:tcPr>
          <w:p>
            <w:pPr>
              <w:spacing w:after="0"/>
              <w:rPr>
                <w:sz w:val="1"/>
                <w:szCs w:val="1"/>
                <w:color w:val="auto"/>
              </w:rPr>
            </w:pPr>
          </w:p>
        </w:tc>
      </w:tr>
      <w:tr>
        <w:trPr>
          <w:trHeight w:val="107"/>
        </w:trPr>
        <w:tc>
          <w:tcPr>
            <w:tcW w:w="5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00" w:type="dxa"/>
            <w:vAlign w:val="bottom"/>
            <w:vMerge w:val="restart"/>
          </w:tcPr>
          <w:p>
            <w:pPr>
              <w:jc w:val="center"/>
              <w:ind w:left="30"/>
              <w:spacing w:after="0"/>
              <w:rPr>
                <w:sz w:val="20"/>
                <w:szCs w:val="20"/>
                <w:color w:val="auto"/>
              </w:rPr>
            </w:pPr>
            <w:r>
              <w:rPr>
                <w:rFonts w:ascii="Arial" w:cs="Arial" w:eastAsia="Arial" w:hAnsi="Arial"/>
                <w:sz w:val="18"/>
                <w:szCs w:val="18"/>
                <w:i w:val="1"/>
                <w:iCs w:val="1"/>
                <w:color w:val="auto"/>
              </w:rPr>
              <w:t>SP–D</w:t>
            </w: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0</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23" w:right="720" w:hanging="223"/>
        <w:spacing w:after="0" w:line="246" w:lineRule="auto"/>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rate in effect immediately before the open of business on the ex-dividend date for such dividend or distribution;</w:t>
      </w:r>
    </w:p>
    <w:p>
      <w:pPr>
        <w:spacing w:after="0" w:line="196" w:lineRule="exact"/>
        <w:rPr>
          <w:rFonts w:ascii="Arial" w:cs="Arial" w:eastAsia="Arial" w:hAnsi="Arial"/>
          <w:sz w:val="18"/>
          <w:szCs w:val="18"/>
          <w:color w:val="auto"/>
        </w:rPr>
      </w:pPr>
    </w:p>
    <w:p>
      <w:pPr>
        <w:ind w:left="223" w:hanging="223"/>
        <w:spacing w:after="0"/>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rate in effect immediately after the open of business on such ex-dividend date;</w:t>
      </w:r>
    </w:p>
    <w:p>
      <w:pPr>
        <w:spacing w:after="0" w:line="211" w:lineRule="exact"/>
        <w:rPr>
          <w:rFonts w:ascii="Arial" w:cs="Arial" w:eastAsia="Arial" w:hAnsi="Arial"/>
          <w:sz w:val="18"/>
          <w:szCs w:val="18"/>
          <w:color w:val="auto"/>
        </w:rPr>
      </w:pPr>
    </w:p>
    <w:p>
      <w:pPr>
        <w:ind w:left="223" w:right="640" w:hanging="223"/>
        <w:spacing w:after="0" w:line="246" w:lineRule="auto"/>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last reported sale price per share of our common stock on the trading day immediately before such ex-dividend date; and</w:t>
      </w:r>
    </w:p>
    <w:p>
      <w:pPr>
        <w:spacing w:after="0" w:line="197" w:lineRule="exact"/>
        <w:rPr>
          <w:sz w:val="20"/>
          <w:szCs w:val="20"/>
          <w:color w:val="auto"/>
        </w:rPr>
      </w:pPr>
    </w:p>
    <w:p>
      <w:pPr>
        <w:sectPr>
          <w:pgSz w:w="11900" w:h="16838" w:orient="portrait"/>
          <w:cols w:equalWidth="0" w:num="2">
            <w:col w:w="1020" w:space="137"/>
            <w:col w:w="9963"/>
          </w:cols>
          <w:pgMar w:left="320" w:top="459" w:right="459" w:bottom="1440" w:gutter="0" w:footer="0" w:header="0"/>
          <w:type w:val="continuous"/>
        </w:sectPr>
      </w:pPr>
    </w:p>
    <w:p>
      <w:pPr>
        <w:ind w:left="1160" w:hanging="491"/>
        <w:spacing w:after="0"/>
        <w:tabs>
          <w:tab w:leader="none" w:pos="116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 the cash amount distributed per share of our common stock in such dividend or distribution.</w:t>
      </w:r>
    </w:p>
    <w:p>
      <w:pPr>
        <w:spacing w:after="0" w:line="86" w:lineRule="exact"/>
        <w:rPr>
          <w:sz w:val="20"/>
          <w:szCs w:val="20"/>
          <w:color w:val="auto"/>
        </w:rPr>
      </w:pPr>
    </w:p>
    <w:p>
      <w:pPr>
        <w:jc w:val="both"/>
        <w:ind w:left="660" w:right="200"/>
        <w:spacing w:after="0" w:line="250" w:lineRule="auto"/>
        <w:rPr>
          <w:sz w:val="20"/>
          <w:szCs w:val="20"/>
          <w:color w:val="auto"/>
        </w:rPr>
      </w:pPr>
      <w:r>
        <w:rPr>
          <w:rFonts w:ascii="Arial" w:cs="Arial" w:eastAsia="Arial" w:hAnsi="Arial"/>
          <w:sz w:val="18"/>
          <w:szCs w:val="18"/>
          <w:color w:val="auto"/>
        </w:rPr>
        <w:t xml:space="preserve">However, if </w:t>
      </w:r>
      <w:r>
        <w:rPr>
          <w:rFonts w:ascii="Arial" w:cs="Arial" w:eastAsia="Arial" w:hAnsi="Arial"/>
          <w:sz w:val="18"/>
          <w:szCs w:val="18"/>
          <w:i w:val="1"/>
          <w:iCs w:val="1"/>
          <w:color w:val="auto"/>
        </w:rPr>
        <w:t>D</w:t>
      </w:r>
      <w:r>
        <w:rPr>
          <w:rFonts w:ascii="Arial" w:cs="Arial" w:eastAsia="Arial" w:hAnsi="Arial"/>
          <w:sz w:val="18"/>
          <w:szCs w:val="18"/>
          <w:color w:val="auto"/>
        </w:rPr>
        <w:t xml:space="preserve"> is equal to or greater than </w:t>
      </w:r>
      <w:r>
        <w:rPr>
          <w:rFonts w:ascii="Arial" w:cs="Arial" w:eastAsia="Arial" w:hAnsi="Arial"/>
          <w:sz w:val="18"/>
          <w:szCs w:val="18"/>
          <w:i w:val="1"/>
          <w:iCs w:val="1"/>
          <w:color w:val="auto"/>
        </w:rPr>
        <w:t>SP</w:t>
      </w:r>
      <w:r>
        <w:rPr>
          <w:rFonts w:ascii="Arial" w:cs="Arial" w:eastAsia="Arial" w:hAnsi="Arial"/>
          <w:sz w:val="18"/>
          <w:szCs w:val="18"/>
          <w:color w:val="auto"/>
        </w:rPr>
        <w:t>, then, in lieu of the foregoing adjustment to the conversion rate, each noteholder will receive, for each $1,000 principal amount of notes held by such noteholder on the record date for such dividend or distribution, at the same time and on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20"/>
          </w:cols>
          <w:pgMar w:left="320" w:top="459" w:right="4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same terms as holders of our common stock, the amount of cash that such noteholder would have received if such noteholder had owned, on such record date, a number of shares of our common stock equal to the conversion rate in effect on such record date. 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90" w:lineRule="exact"/>
        <w:rPr>
          <w:sz w:val="20"/>
          <w:szCs w:val="20"/>
          <w:color w:val="auto"/>
        </w:rPr>
      </w:pPr>
    </w:p>
    <w:p>
      <w:pPr>
        <w:ind w:left="660" w:hanging="54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Tender Offers or Exchange Offers</w:t>
      </w:r>
      <w:r>
        <w:rPr>
          <w:rFonts w:ascii="Arial" w:cs="Arial" w:eastAsia="Arial" w:hAnsi="Arial"/>
          <w:sz w:val="18"/>
          <w:szCs w:val="18"/>
          <w:color w:val="auto"/>
        </w:rPr>
        <w:t>. If we or any of our subsidiaries makes a payment in respect of a tender offer or exchange offer</w:t>
      </w:r>
      <w:r>
        <w:rPr>
          <w:rFonts w:ascii="Arial" w:cs="Arial" w:eastAsia="Arial" w:hAnsi="Arial"/>
          <w:sz w:val="18"/>
          <w:szCs w:val="18"/>
          <w:i w:val="1"/>
          <w:iCs w:val="1"/>
          <w:color w:val="auto"/>
        </w:rPr>
        <w:t xml:space="preserve"> </w:t>
      </w:r>
      <w:r>
        <w:rPr>
          <w:rFonts w:ascii="Arial" w:cs="Arial" w:eastAsia="Arial" w:hAnsi="Arial"/>
          <w:sz w:val="18"/>
          <w:szCs w:val="18"/>
          <w:color w:val="auto"/>
        </w:rPr>
        <w:t>for shares of our common stock (other than solely pursuant to an odd-lot tender offer pursuant to Rule 13e-4(h)(5) under the Exchange Act), and the value (determined as of the expiration time by our board of directors) of the cash and other consideration paid per share of our common stock in such tender or exchange offer exceeds the last reported sale price per share of our common stock on the trading day immediately after the last date (the “expiration date”) on which tenders or exchanges may be made pursuant to such tender or exchange offer (as it may be amended), then the conversion rate will be increased based on the following formula:</w:t>
      </w:r>
    </w:p>
    <w:p>
      <w:pPr>
        <w:spacing w:after="0" w:line="179" w:lineRule="exact"/>
        <w:rPr>
          <w:sz w:val="20"/>
          <w:szCs w:val="20"/>
          <w:color w:val="auto"/>
        </w:rPr>
      </w:pPr>
    </w:p>
    <w:tbl>
      <w:tblPr>
        <w:tblLayout w:type="fixed"/>
        <w:tblInd w:w="3740" w:type="dxa"/>
        <w:tblCellMar>
          <w:top w:w="0" w:type="dxa"/>
          <w:left w:w="0" w:type="dxa"/>
          <w:bottom w:w="0" w:type="dxa"/>
          <w:right w:w="0" w:type="dxa"/>
        </w:tblCellMar>
      </w:tblPr>
      <w:tr>
        <w:trPr>
          <w:trHeight w:val="234"/>
        </w:trPr>
        <w:tc>
          <w:tcPr>
            <w:tcW w:w="560" w:type="dxa"/>
            <w:vAlign w:val="bottom"/>
            <w:vMerge w:val="restart"/>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tc>
        <w:tc>
          <w:tcPr>
            <w:tcW w:w="98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  CR</w:t>
            </w:r>
            <w:r>
              <w:rPr>
                <w:rFonts w:ascii="Arial" w:cs="Arial" w:eastAsia="Arial" w:hAnsi="Arial"/>
                <w:sz w:val="15"/>
                <w:szCs w:val="15"/>
                <w:i w:val="1"/>
                <w:iCs w:val="1"/>
                <w:color w:val="auto"/>
              </w:rPr>
              <w:t>0</w:t>
            </w: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9"/>
              </w:rPr>
              <w:t xml:space="preserve">AC + </w:t>
            </w:r>
            <w:r>
              <w:rPr>
                <w:rFonts w:ascii="Arial" w:cs="Arial" w:eastAsia="Arial" w:hAnsi="Arial"/>
                <w:sz w:val="18"/>
                <w:szCs w:val="18"/>
                <w:color w:val="auto"/>
                <w:w w:val="99"/>
              </w:rPr>
              <w:t>(</w:t>
            </w:r>
            <w:r>
              <w:rPr>
                <w:rFonts w:ascii="Arial" w:cs="Arial" w:eastAsia="Arial" w:hAnsi="Arial"/>
                <w:sz w:val="18"/>
                <w:szCs w:val="18"/>
                <w:i w:val="1"/>
                <w:iCs w:val="1"/>
                <w:color w:val="auto"/>
                <w:w w:val="99"/>
              </w:rPr>
              <w:t xml:space="preserve">SP </w:t>
            </w:r>
            <w:r>
              <w:rPr>
                <w:rFonts w:ascii="Arial" w:cs="Arial" w:eastAsia="Arial" w:hAnsi="Arial"/>
                <w:sz w:val="18"/>
                <w:szCs w:val="18"/>
                <w:color w:val="auto"/>
                <w:w w:val="99"/>
              </w:rPr>
              <w:t>×</w:t>
            </w:r>
            <w:r>
              <w:rPr>
                <w:rFonts w:ascii="Arial" w:cs="Arial" w:eastAsia="Arial" w:hAnsi="Arial"/>
                <w:sz w:val="18"/>
                <w:szCs w:val="18"/>
                <w:i w:val="1"/>
                <w:iCs w:val="1"/>
                <w:color w:val="auto"/>
                <w:w w:val="99"/>
              </w:rPr>
              <w:t xml:space="preserve"> OS</w:t>
            </w:r>
            <w:r>
              <w:rPr>
                <w:rFonts w:ascii="Arial" w:cs="Arial" w:eastAsia="Arial" w:hAnsi="Arial"/>
                <w:sz w:val="15"/>
                <w:szCs w:val="15"/>
                <w:i w:val="1"/>
                <w:iCs w:val="1"/>
                <w:color w:val="auto"/>
                <w:w w:val="99"/>
              </w:rPr>
              <w:t>1</w:t>
            </w:r>
            <w:r>
              <w:rPr>
                <w:rFonts w:ascii="Arial" w:cs="Arial" w:eastAsia="Arial" w:hAnsi="Arial"/>
                <w:sz w:val="18"/>
                <w:szCs w:val="18"/>
                <w:u w:val="single" w:color="auto"/>
                <w:color w:val="auto"/>
                <w:w w:val="99"/>
              </w:rPr>
              <w:t>)</w:t>
            </w:r>
          </w:p>
        </w:tc>
        <w:tc>
          <w:tcPr>
            <w:tcW w:w="0" w:type="dxa"/>
            <w:vAlign w:val="bottom"/>
          </w:tcPr>
          <w:p>
            <w:pPr>
              <w:spacing w:after="0"/>
              <w:rPr>
                <w:sz w:val="1"/>
                <w:szCs w:val="1"/>
                <w:color w:val="auto"/>
              </w:rPr>
            </w:pPr>
          </w:p>
        </w:tc>
      </w:tr>
      <w:tr>
        <w:trPr>
          <w:trHeight w:val="113"/>
        </w:trPr>
        <w:tc>
          <w:tcPr>
            <w:tcW w:w="5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w w:val="98"/>
              </w:rPr>
              <w:t xml:space="preserve">SP </w:t>
            </w:r>
            <w:r>
              <w:rPr>
                <w:rFonts w:ascii="Arial" w:cs="Arial" w:eastAsia="Arial" w:hAnsi="Arial"/>
                <w:sz w:val="18"/>
                <w:szCs w:val="18"/>
                <w:color w:val="auto"/>
                <w:w w:val="98"/>
              </w:rPr>
              <w:t>×</w:t>
            </w:r>
            <w:r>
              <w:rPr>
                <w:rFonts w:ascii="Arial" w:cs="Arial" w:eastAsia="Arial" w:hAnsi="Arial"/>
                <w:sz w:val="18"/>
                <w:szCs w:val="18"/>
                <w:i w:val="1"/>
                <w:iCs w:val="1"/>
                <w:color w:val="auto"/>
                <w:w w:val="98"/>
              </w:rPr>
              <w:t xml:space="preserve"> OS</w:t>
            </w:r>
            <w:r>
              <w:rPr>
                <w:rFonts w:ascii="Arial" w:cs="Arial" w:eastAsia="Arial" w:hAnsi="Arial"/>
                <w:sz w:val="15"/>
                <w:szCs w:val="15"/>
                <w:i w:val="1"/>
                <w:iCs w:val="1"/>
                <w:color w:val="auto"/>
                <w:w w:val="98"/>
              </w:rPr>
              <w:t>0</w:t>
            </w: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00"/>
          </w:cols>
          <w:pgMar w:left="320" w:top="459" w:right="479" w:bottom="1440" w:gutter="0" w:footer="0" w:header="0"/>
        </w:sect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0</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15"/>
          <w:szCs w:val="15"/>
          <w:i w:val="1"/>
          <w:iCs w:val="1"/>
          <w:color w:val="auto"/>
        </w:rPr>
        <w:t>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i w:val="1"/>
          <w:iCs w:val="1"/>
          <w:color w:val="auto"/>
        </w:rPr>
        <w:t>0</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15"/>
          <w:szCs w:val="15"/>
          <w:i w:val="1"/>
          <w:iCs w:val="1"/>
          <w:color w:val="auto"/>
        </w:rPr>
        <w:t>1</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23" w:right="1060" w:hanging="223"/>
        <w:spacing w:after="0" w:line="246" w:lineRule="auto"/>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rate in effect immediately before the time (the “expiration time”) such tender or exchange offer expires;</w:t>
      </w:r>
    </w:p>
    <w:p>
      <w:pPr>
        <w:spacing w:after="0" w:line="196" w:lineRule="exact"/>
        <w:rPr>
          <w:rFonts w:ascii="Arial" w:cs="Arial" w:eastAsia="Arial" w:hAnsi="Arial"/>
          <w:sz w:val="18"/>
          <w:szCs w:val="18"/>
          <w:color w:val="auto"/>
        </w:rPr>
      </w:pPr>
    </w:p>
    <w:p>
      <w:pPr>
        <w:ind w:left="223" w:hanging="223"/>
        <w:spacing w:after="0"/>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rate in effect immediately after the expiration time;</w:t>
      </w:r>
    </w:p>
    <w:p>
      <w:pPr>
        <w:spacing w:after="0" w:line="211" w:lineRule="exact"/>
        <w:rPr>
          <w:rFonts w:ascii="Arial" w:cs="Arial" w:eastAsia="Arial" w:hAnsi="Arial"/>
          <w:sz w:val="18"/>
          <w:szCs w:val="18"/>
          <w:color w:val="auto"/>
        </w:rPr>
      </w:pPr>
    </w:p>
    <w:p>
      <w:pPr>
        <w:ind w:left="223" w:right="980" w:hanging="223"/>
        <w:spacing w:after="0" w:line="274" w:lineRule="auto"/>
        <w:tabs>
          <w:tab w:leader="none" w:pos="22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value (determined as of the expiration time by our board of directors) of all cash and other consideration paid for shares of our common stock purchased or exchanged in such tender or exchange offer;</w:t>
      </w:r>
    </w:p>
    <w:p>
      <w:pPr>
        <w:spacing w:after="0" w:line="174" w:lineRule="exact"/>
        <w:rPr>
          <w:rFonts w:ascii="Arial" w:cs="Arial" w:eastAsia="Arial" w:hAnsi="Arial"/>
          <w:sz w:val="17"/>
          <w:szCs w:val="17"/>
          <w:color w:val="auto"/>
        </w:rPr>
      </w:pPr>
    </w:p>
    <w:p>
      <w:pPr>
        <w:ind w:left="223" w:right="600" w:hanging="223"/>
        <w:spacing w:after="0" w:line="246" w:lineRule="auto"/>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of our common stock outstanding immediately before the expiration time (including all shares of our common stock accepted for purchase or exchange in such tender or exchange offer);</w:t>
      </w:r>
    </w:p>
    <w:p>
      <w:pPr>
        <w:spacing w:after="0" w:line="196" w:lineRule="exact"/>
        <w:rPr>
          <w:rFonts w:ascii="Arial" w:cs="Arial" w:eastAsia="Arial" w:hAnsi="Arial"/>
          <w:sz w:val="18"/>
          <w:szCs w:val="18"/>
          <w:color w:val="auto"/>
        </w:rPr>
      </w:pPr>
    </w:p>
    <w:p>
      <w:pPr>
        <w:ind w:left="223" w:right="700" w:hanging="223"/>
        <w:spacing w:after="0" w:line="246" w:lineRule="auto"/>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of our common stock outstanding immediately after the expiration time (excluding all shares of our common stock accepted for purchase or exchange in such tender or exchange offer); and</w:t>
      </w:r>
    </w:p>
    <w:p>
      <w:pPr>
        <w:spacing w:after="0" w:line="196" w:lineRule="exact"/>
        <w:rPr>
          <w:rFonts w:ascii="Arial" w:cs="Arial" w:eastAsia="Arial" w:hAnsi="Arial"/>
          <w:sz w:val="18"/>
          <w:szCs w:val="18"/>
          <w:color w:val="auto"/>
        </w:rPr>
      </w:pPr>
    </w:p>
    <w:p>
      <w:pPr>
        <w:ind w:left="223" w:right="620" w:hanging="223"/>
        <w:spacing w:after="0"/>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of the last reported sale prices per share of our common stock over the 10 consecutive trading day period (the “tender/exchange offer valuation period”) beginning on, and including, the trading day immediately after the expiration date;</w:t>
      </w:r>
    </w:p>
    <w:p>
      <w:pPr>
        <w:spacing w:after="0" w:line="77" w:lineRule="exact"/>
        <w:rPr>
          <w:sz w:val="20"/>
          <w:szCs w:val="20"/>
          <w:color w:val="auto"/>
        </w:rPr>
      </w:pPr>
    </w:p>
    <w:p>
      <w:pPr>
        <w:sectPr>
          <w:pgSz w:w="11900" w:h="16838" w:orient="portrait"/>
          <w:cols w:equalWidth="0" w:num="2">
            <w:col w:w="1020" w:space="137"/>
            <w:col w:w="9943"/>
          </w:cols>
          <w:pgMar w:left="320" w:top="459" w:right="479" w:bottom="1440" w:gutter="0" w:footer="0" w:header="0"/>
          <w:type w:val="continuous"/>
        </w:sectPr>
      </w:pPr>
    </w:p>
    <w:p>
      <w:pPr>
        <w:ind w:left="660" w:right="180"/>
        <w:spacing w:after="0" w:line="23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conversion rate will in no event be adjusted down pursuant to the provisions described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(5), except to the extent provided in the immediately following paragraph. The adjustment to the conversion rate pursuant to this paragraph (5) will be calculated as of the close of business on the last trading day of the tender/exchange offer valuation period but will be given effect immediately after the expiration time, with retroactive effect. If a note is converted and the conversion date (in the case of physical settlement) or any VWAP trading day of the applicable observation period (in the case of cash settlement or combination settlement) occurs on the expiration date or during the tender/exchange offer valuation period, then, notwithstanding anything to the contrary, we will, if necessary, delay the settlement of such conversion until the second business day after the last day of the tender/exchange offer valuation period.</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00"/>
          </w:cols>
          <w:pgMar w:left="320" w:top="459" w:right="4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2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will not be required to adjust the conversion rate except as described above or below under the caption “—Increase in Conversion Rate in Connection with a Make-Whole Fundamental Change.” Without limiting the foregoing, we will not be required to adjust the conversion rate on account of:</w:t>
      </w:r>
    </w:p>
    <w:p>
      <w:pPr>
        <w:spacing w:after="0" w:line="108" w:lineRule="exact"/>
        <w:rPr>
          <w:sz w:val="20"/>
          <w:szCs w:val="20"/>
          <w:color w:val="auto"/>
        </w:rPr>
      </w:pPr>
    </w:p>
    <w:p>
      <w:pPr>
        <w:ind w:left="880" w:right="26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described above, the sale of shares of our common stock for a purchase price that is less than the market price per share of our common stock or less than the conversion price;</w:t>
      </w:r>
    </w:p>
    <w:p>
      <w:pPr>
        <w:spacing w:after="0" w:line="102" w:lineRule="exact"/>
        <w:rPr>
          <w:rFonts w:ascii="Arial" w:cs="Arial" w:eastAsia="Arial" w:hAnsi="Arial"/>
          <w:sz w:val="18"/>
          <w:szCs w:val="18"/>
          <w:color w:val="auto"/>
        </w:rPr>
      </w:pPr>
    </w:p>
    <w:p>
      <w:pPr>
        <w:ind w:left="880" w:right="6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any shares of our common stock pursuant to any present or future plan providing for the reinvestment of dividends or interest payable on our securities and the investment of additional optional amounts in shares of our common stock under any such plan;</w:t>
      </w:r>
    </w:p>
    <w:p>
      <w:pPr>
        <w:spacing w:after="0" w:line="108" w:lineRule="exact"/>
        <w:rPr>
          <w:rFonts w:ascii="Arial" w:cs="Arial" w:eastAsia="Arial" w:hAnsi="Arial"/>
          <w:sz w:val="18"/>
          <w:szCs w:val="18"/>
          <w:color w:val="auto"/>
        </w:rPr>
      </w:pPr>
    </w:p>
    <w:p>
      <w:pPr>
        <w:ind w:left="880" w:right="240" w:hanging="224"/>
        <w:spacing w:after="0" w:line="274" w:lineRule="auto"/>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issuance of any shares of our common stock or options or rights to purchase shares of our common stock pursuant to any present or future employee, director or consultant benefit plan or program of, or assumed by, us or any of our subsidiaries;</w:t>
      </w:r>
    </w:p>
    <w:p>
      <w:pPr>
        <w:spacing w:after="0" w:line="80" w:lineRule="exact"/>
        <w:rPr>
          <w:rFonts w:ascii="Arial" w:cs="Arial" w:eastAsia="Arial" w:hAnsi="Arial"/>
          <w:sz w:val="17"/>
          <w:szCs w:val="17"/>
          <w:color w:val="auto"/>
        </w:rPr>
      </w:pPr>
    </w:p>
    <w:p>
      <w:pPr>
        <w:ind w:left="88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any shares of our common stock pursuant to any option, warrant, right or convertible or exchangeable security of ours outstanding as of the date we first issue the notes;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solely a change in the par value of our common stock;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accrued and unpaid interest on the notes.</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Conversion Rate Adjustments</w:t>
      </w:r>
    </w:p>
    <w:p>
      <w:pPr>
        <w:spacing w:after="0" w:line="126" w:lineRule="exact"/>
        <w:rPr>
          <w:sz w:val="20"/>
          <w:szCs w:val="20"/>
          <w:color w:val="auto"/>
        </w:rPr>
      </w:pPr>
    </w:p>
    <w:p>
      <w:pPr>
        <w:jc w:val="both"/>
        <w:ind w:left="120" w:right="60" w:firstLine="551"/>
        <w:spacing w:after="0" w:line="238" w:lineRule="auto"/>
        <w:rPr>
          <w:sz w:val="20"/>
          <w:szCs w:val="20"/>
          <w:color w:val="auto"/>
        </w:rPr>
      </w:pPr>
      <w:r>
        <w:rPr>
          <w:rFonts w:ascii="Arial" w:cs="Arial" w:eastAsia="Arial" w:hAnsi="Arial"/>
          <w:sz w:val="18"/>
          <w:szCs w:val="18"/>
          <w:color w:val="auto"/>
        </w:rPr>
        <w:t>Upon the effectiveness of any adjustment to the conversion rate pursuant to the provisions described above under the caption “— Conversion Rate Adjustments—Generally,” we will promptly send notice to the noteholders, the trustee and the conversion agent (if other than the trustee) containing (i) a brief description of the transaction or other event on account of which such adjustment was made; (ii) the conversion rate in effect immediately after such adjustment; and (iii) the effective time of such adjustment.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Voluntary Conversion Rate Increases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To the extent permitted by law and applicable stock exchange rules, we, from time to time, may (but are not required to) increase the conversion rate by any amount if (i) our board of directors determines that such increase is in our best interest or that such increase is advisable to avoid or diminish any income tax imposed on holders of our common stock or rights to purchase our common stock as a result of any dividend or distribution of shares (or rights to acquire shares) of our common stock or any similar event; (ii) such increase is in effect for a period of at least 20 business days; and (iii) such increase is irrevocable during such period.</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holder or beneficial owner of the notes may, in some circumstances, including a cash distribution or dividend on our common stock, be deemed to have received a distribution that is subject to U.S. federal income tax as a result of an adjustment or the non-occurrence of an adjustment to the conversion rate. Applicable withholding taxes (including backup withholding) may be withheld from</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interest and payments upon conversion, repurchase, redemption or maturity of the notes. In addition, if any withholding taxes (including backup withholding) are paid on behalf of a holder or beneficial owner, then those withholding taxes may be withheld from or set off against payments of cash or the delivery of shares of common stock, if any, in respect of the notes (or, in some circumstances, any payments on our common stock) or sales proceeds received by, or other funds or assets of, that holder or beneficial owner. For a discussion of the U.S. federal income tax treatment of an adjustment to the conversion rate, see “Certain U.S. Federal Income Tax Considerations.”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Deferral Exception</w:t>
      </w:r>
    </w:p>
    <w:p>
      <w:pPr>
        <w:spacing w:after="0" w:line="12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If an adjustment to the conversion rate otherwise required by the indenture would result in a change of less than 1% to the conversion rate, then we may, at our election, defer such adjustment, except that all such deferred adjustments must be given effect immediately upon the earliest of the following: (i) when all such deferred adjustments would result in a change of at least 1% to the conversion rate; (ii) the conversion date of, or any VWAP trading day of an observation period for, any note; (iii) the date a fundamental change or make-whole fundamental change occurs; (iv) the date we call any notes for redemption; and (v) April 1, 2025. We refer to our ability to defer adjustments as described above as the “deferral exception.”</w:t>
      </w:r>
    </w:p>
    <w:p>
      <w:pPr>
        <w:spacing w:after="0" w:line="291" w:lineRule="exact"/>
        <w:rPr>
          <w:sz w:val="20"/>
          <w:szCs w:val="20"/>
          <w:color w:val="auto"/>
        </w:rPr>
      </w:pPr>
    </w:p>
    <w:p>
      <w:pPr>
        <w:ind w:left="660" w:right="660"/>
        <w:spacing w:after="0" w:line="271" w:lineRule="auto"/>
        <w:rPr>
          <w:sz w:val="20"/>
          <w:szCs w:val="20"/>
          <w:color w:val="auto"/>
        </w:rPr>
      </w:pPr>
      <w:r>
        <w:rPr>
          <w:rFonts w:ascii="Arial" w:cs="Arial" w:eastAsia="Arial" w:hAnsi="Arial"/>
          <w:sz w:val="18"/>
          <w:szCs w:val="18"/>
          <w:b w:val="1"/>
          <w:bCs w:val="1"/>
          <w:i w:val="1"/>
          <w:iCs w:val="1"/>
          <w:color w:val="auto"/>
        </w:rPr>
        <w:t>Special Provisions for Adjustments that Are Not Yet Effective and Where Converting Noteholders Participate in the Relevant Transaction or Event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if:</w:t>
      </w:r>
    </w:p>
    <w:p>
      <w:pPr>
        <w:spacing w:after="0" w:line="117"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record date, effective date or expiration time for any event that requires an adjustment to the conversion rate pursuant to the provisions described above under the caption “—Conversion Rate Adjustments—Generally”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07" w:lineRule="exact"/>
        <w:rPr>
          <w:rFonts w:ascii="Arial" w:cs="Arial" w:eastAsia="Arial" w:hAnsi="Arial"/>
          <w:sz w:val="18"/>
          <w:szCs w:val="18"/>
          <w:color w:val="auto"/>
        </w:rPr>
      </w:pPr>
    </w:p>
    <w:p>
      <w:pPr>
        <w:ind w:left="880" w:right="2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consideration due upon such conversion includes any whole shares of our common stock (in the case of physical settlement) or due in respect of such VWAP trading day includes any whole or fractional shares of our common stock (in the case of combination settlement); and</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shares are not entitled to participate in such event (because they were not held on the related record date or otherwise),</w:t>
      </w:r>
    </w:p>
    <w:p>
      <w:pPr>
        <w:spacing w:after="0" w:line="21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then, solely for purposes of such conversion, we will, without duplication, give effect to such adjustment on such conversion date (in the case of physical settlement) or such VWAP trading day (in the case of combination settlement). In such case, if the date we are otherwise required to deliver the consideration due upon such conversion is before the first date on which the amount of such adjustment can be determined, then we will delay the settlement of such conversion until the second business day after such first date.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if:</w:t>
      </w:r>
    </w:p>
    <w:p>
      <w:pPr>
        <w:spacing w:after="0" w:line="117" w:lineRule="exact"/>
        <w:rPr>
          <w:sz w:val="20"/>
          <w:szCs w:val="20"/>
          <w:color w:val="auto"/>
        </w:rPr>
      </w:pPr>
    </w:p>
    <w:p>
      <w:pPr>
        <w:ind w:left="880" w:right="78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conversion rate adjustment for any dividend or distribution becomes effective on any ex-dividend date pursuant to the provisions described above under the caption “—Conversion Rate Adjustments—Generally”;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consideration due upon such conversion includes any whole shares of our common stock (in the case of physical settlement) or due in respect of such VWAP trading day includes any whole or fractional shares of our common stock (in the case of combination settlement), in each case based on a conversion rate that is adjusted for such dividend or distribution; and</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shares would be entitled to participate in such dividend or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then:</w:t>
      </w:r>
    </w:p>
    <w:p>
      <w:pPr>
        <w:spacing w:after="0" w:line="117" w:lineRule="exact"/>
        <w:rPr>
          <w:sz w:val="20"/>
          <w:szCs w:val="20"/>
          <w:color w:val="auto"/>
        </w:rPr>
      </w:pPr>
    </w:p>
    <w:p>
      <w:pPr>
        <w:ind w:left="880" w:right="20" w:hanging="224"/>
        <w:spacing w:after="0" w:line="238"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had such shares been entitled to participate in such dividend or distribution; and</w:t>
      </w:r>
    </w:p>
    <w:p>
      <w:pPr>
        <w:spacing w:after="0" w:line="107" w:lineRule="exact"/>
        <w:rPr>
          <w:rFonts w:ascii="Arial" w:cs="Arial" w:eastAsia="Arial" w:hAnsi="Arial"/>
          <w:sz w:val="18"/>
          <w:szCs w:val="18"/>
          <w:color w:val="auto"/>
        </w:rPr>
      </w:pPr>
    </w:p>
    <w:p>
      <w:pPr>
        <w:ind w:left="880" w:right="22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Rights Plans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If any shares of our common stock are to be issued upon conversion of any note and, at the time of such conversion, we have in effect any stockholder rights plan, then the holder of that note will be entitled to receive, in addition to, and concurrently with the delivery of, the consideration otherwise due upon such conversion, the rights set forth in such stockholder rights plan, unless such rights have separated from our common stock at such time, in which case, and only in such case, the conversion rate will be adjusted pursuant to the provisions described above in paragraph (3)(a) under the caption “—Conversion Rate Adjustments—Generally” on account of such separation as if, at the time of such separation, we had made a distribution of the type referred to in such paragraph to all holders of our common stock, subject to readjustment as described above if such rights expire, terminate or are redeemed. We currently do not have a stockholder rights plan in effect.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Conversion Rate in Connection with a Make-Whole Fundamental Change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If a make-whole fundamental change occurs and the conversion date for the conversion of a note occurs during the related “make-whole fundamental change conversion period” (as defined below under the caption “—Definitions”), then, subject to the provisions described below, the conversion rate applicable to such conversion will be increased by a number of shares (the “additional shares”) set forth in the table below corresponding (after interpolation as described below) to the “make-whole fundamental change effective date” (as defined below under the caption “—Definitions”) and the “stock price” (as defined below under the caption “—Definitions”) of such make-whole fundamental change: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Make-Whole</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Stock Price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Fundamental</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Effective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Date</w:t>
            </w:r>
          </w:p>
        </w:tc>
        <w:tc>
          <w:tcPr>
            <w:tcW w:w="144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$13.50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$15.00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16.20</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18.00</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20.00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21.06</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25.00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30.00</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35.00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40.00</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50.00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75.00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100.00</w:t>
            </w:r>
          </w:p>
        </w:tc>
        <w:tc>
          <w:tcPr>
            <w:tcW w:w="1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125.00</w:t>
            </w:r>
          </w:p>
        </w:tc>
        <w:tc>
          <w:tcPr>
            <w:tcW w:w="0" w:type="dxa"/>
            <w:vAlign w:val="bottom"/>
          </w:tcPr>
          <w:p>
            <w:pPr>
              <w:spacing w:after="0"/>
              <w:rPr>
                <w:sz w:val="1"/>
                <w:szCs w:val="1"/>
                <w:color w:val="auto"/>
              </w:rPr>
            </w:pPr>
          </w:p>
        </w:tc>
      </w:tr>
      <w:tr>
        <w:trPr>
          <w:trHeight w:val="20"/>
        </w:trPr>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June 25, 2020</w:t>
            </w: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12.3456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10.7487</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9.7173</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8.4567</w:t>
            </w: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7.3420</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6.8409</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5.3600</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4.0450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3.1086</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2.4120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1.4630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0.3557</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0.0099</w:t>
            </w: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July 1, 2021</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12.3456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9.6800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8.6963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7.5294</w:t>
            </w:r>
          </w:p>
        </w:tc>
        <w:tc>
          <w:tcPr>
            <w:tcW w:w="540" w:type="dxa"/>
            <w:vAlign w:val="bottom"/>
          </w:tcPr>
          <w:p>
            <w:pPr>
              <w:jc w:val="right"/>
              <w:spacing w:after="0"/>
              <w:rPr>
                <w:sz w:val="20"/>
                <w:szCs w:val="20"/>
                <w:color w:val="auto"/>
              </w:rPr>
            </w:pPr>
            <w:r>
              <w:rPr>
                <w:rFonts w:ascii="Arial" w:cs="Arial" w:eastAsia="Arial" w:hAnsi="Arial"/>
                <w:sz w:val="14"/>
                <w:szCs w:val="14"/>
                <w:color w:val="auto"/>
              </w:rPr>
              <w:t>6.5235</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6.0779</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4.7736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3.6230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2.8029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2.1900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1.3462</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0.3361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0.0081</w:t>
            </w:r>
          </w:p>
        </w:tc>
        <w:tc>
          <w:tcPr>
            <w:tcW w:w="620" w:type="dxa"/>
            <w:vAlign w:val="bottom"/>
          </w:tcPr>
          <w:p>
            <w:pPr>
              <w:jc w:val="right"/>
              <w:spacing w:after="0"/>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July 1, 2022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12.3456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8.3927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7.4222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6.3383</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5.4545</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5.0745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3.9876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3.0437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2.3717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1.8680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1.1674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0.3024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0.0052</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July 1, 2023</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12.3456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6.9360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5.8790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4.8322</w:t>
            </w:r>
          </w:p>
        </w:tc>
        <w:tc>
          <w:tcPr>
            <w:tcW w:w="540" w:type="dxa"/>
            <w:vAlign w:val="bottom"/>
          </w:tcPr>
          <w:p>
            <w:pPr>
              <w:jc w:val="right"/>
              <w:spacing w:after="0"/>
              <w:rPr>
                <w:sz w:val="20"/>
                <w:szCs w:val="20"/>
                <w:color w:val="auto"/>
              </w:rPr>
            </w:pPr>
            <w:r>
              <w:rPr>
                <w:rFonts w:ascii="Arial" w:cs="Arial" w:eastAsia="Arial" w:hAnsi="Arial"/>
                <w:sz w:val="14"/>
                <w:szCs w:val="14"/>
                <w:color w:val="auto"/>
              </w:rPr>
              <w:t>4.0815</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3.7806</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2.9636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2.2743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1.7857</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1.4188</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0.9044</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0.2469</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0.0025</w:t>
            </w:r>
          </w:p>
        </w:tc>
        <w:tc>
          <w:tcPr>
            <w:tcW w:w="620" w:type="dxa"/>
            <w:vAlign w:val="bottom"/>
          </w:tcPr>
          <w:p>
            <w:pPr>
              <w:jc w:val="right"/>
              <w:spacing w:after="0"/>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July 1, 2024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12.3456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5.4453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4.0025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2.8833</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2.3075</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2.1187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1.6564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1.0126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0.8118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0.5298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0.1573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0.0013</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r>
        <w:trPr>
          <w:trHeight w:val="177"/>
        </w:trPr>
        <w:tc>
          <w:tcPr>
            <w:tcW w:w="1760" w:type="dxa"/>
            <w:vAlign w:val="bottom"/>
            <w:gridSpan w:val="2"/>
          </w:tcPr>
          <w:p>
            <w:pPr>
              <w:spacing w:after="0"/>
              <w:rPr>
                <w:sz w:val="20"/>
                <w:szCs w:val="20"/>
                <w:color w:val="auto"/>
              </w:rPr>
            </w:pPr>
            <w:r>
              <w:rPr>
                <w:rFonts w:ascii="Arial" w:cs="Arial" w:eastAsia="Arial" w:hAnsi="Arial"/>
                <w:sz w:val="14"/>
                <w:szCs w:val="14"/>
                <w:color w:val="auto"/>
              </w:rPr>
              <w:t>July 1, 2025</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12.3456</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4.9380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0.0000</w:t>
            </w:r>
          </w:p>
        </w:tc>
        <w:tc>
          <w:tcPr>
            <w:tcW w:w="540" w:type="dxa"/>
            <w:vAlign w:val="bottom"/>
          </w:tcPr>
          <w:p>
            <w:pPr>
              <w:jc w:val="right"/>
              <w:spacing w:after="0"/>
              <w:rPr>
                <w:sz w:val="20"/>
                <w:szCs w:val="20"/>
                <w:color w:val="auto"/>
              </w:rPr>
            </w:pPr>
            <w:r>
              <w:rPr>
                <w:rFonts w:ascii="Arial" w:cs="Arial" w:eastAsia="Arial" w:hAnsi="Arial"/>
                <w:sz w:val="14"/>
                <w:szCs w:val="14"/>
                <w:color w:val="auto"/>
              </w:rPr>
              <w:t>0.0000</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0.0000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0.0000</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0.0000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0.0000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20" w:type="dxa"/>
            <w:vAlign w:val="bottom"/>
          </w:tcPr>
          <w:p>
            <w:pPr>
              <w:jc w:val="right"/>
              <w:spacing w:after="0"/>
              <w:rPr>
                <w:sz w:val="20"/>
                <w:szCs w:val="20"/>
                <w:color w:val="auto"/>
              </w:rPr>
            </w:pPr>
            <w:r>
              <w:rPr>
                <w:rFonts w:ascii="Arial" w:cs="Arial" w:eastAsia="Arial" w:hAnsi="Arial"/>
                <w:sz w:val="14"/>
                <w:szCs w:val="14"/>
                <w:color w:val="auto"/>
              </w:rPr>
              <w:t>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such make-whole fundamental change effective date or stock price is not set forth in the table above, then:</w:t>
      </w:r>
    </w:p>
    <w:p>
      <w:pPr>
        <w:spacing w:after="0" w:line="117" w:lineRule="exact"/>
        <w:rPr>
          <w:sz w:val="20"/>
          <w:szCs w:val="20"/>
          <w:color w:val="auto"/>
        </w:rPr>
      </w:pPr>
    </w:p>
    <w:p>
      <w:pPr>
        <w:ind w:left="880" w:right="400" w:hanging="224"/>
        <w:spacing w:after="0" w:line="238"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10" w:lineRule="exact"/>
        <w:rPr>
          <w:rFonts w:ascii="Arial" w:cs="Arial" w:eastAsia="Arial" w:hAnsi="Arial"/>
          <w:sz w:val="18"/>
          <w:szCs w:val="18"/>
          <w:color w:val="auto"/>
        </w:rPr>
      </w:pPr>
    </w:p>
    <w:p>
      <w:pPr>
        <w:ind w:left="880" w:right="80" w:hanging="224"/>
        <w:spacing w:after="0" w:line="238"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stock price is greater than $125.00 (subject to adjustment in the same manner as the stock prices set forth in the column headings of the table above are adjusted, as described below under the caption “—Adjustment of Stock Prices and Number of Additional Shares”), or less than $13.50 (subject to adjustment in the same manner), per share, then no additional shares will be added to the conversion rate.</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Notwithstanding anything to the contrary, in no event will the conversion rate be increased to an amount that exceeds 74.0740 shares of our common stock per $1,000 principal amount of notes, which amount is subject to adjustment in the same manner as, and at the same time and for the same events for which, the conversion rate is required to be adjusted pursuant to the provisions described above under the caption “—Conversion Rate Adjustments—Generally.”</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For the avoidance of doubt, calling any notes for redemption will constitute a make-whole fundamental change only with respect to the notes called (or deemed called) for redemption, and not with respect to the notes not called for redemption. Accordingly, if we elect to redeem less than all of the outstanding notes, then holders of the notes not called for redemption will not be entitled to an increased conversion rate for such notes as described above on account of the redemption, except to the limited extent described above under the caption “—Optional Redemption.”</w:t>
      </w:r>
    </w:p>
    <w:p>
      <w:pPr>
        <w:spacing w:after="0" w:line="202"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As set forth in the definition of “make-whole fundamental change conversion period” below under the caption “—Definitions,” if the conversion date for the conversion of a note occurs during a make-whole fundamental change conversion period relating to both a make-whole fundamental change resulting from our calling notes for redemption and another make-whole fundamental change, then, solely for purposes of that conversion, such conversion date will be deemed to occur only during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period relating to the make-whole fundamental change with the earlier make-whole fundamental change effective date. In that circumstance, the make-whole fundamental change with the later make-whole fundamental change effective date will be deemed not to occur for purposes of such conversion.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Adjustment of Stock Prices and Number of Additional Shares</w:t>
      </w:r>
    </w:p>
    <w:p>
      <w:pPr>
        <w:spacing w:after="0" w:line="108"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The stock prices in the first row (</w:t>
      </w:r>
      <w:r>
        <w:rPr>
          <w:rFonts w:ascii="Arial" w:cs="Arial" w:eastAsia="Arial" w:hAnsi="Arial"/>
          <w:sz w:val="18"/>
          <w:szCs w:val="18"/>
          <w:i w:val="1"/>
          <w:iCs w:val="1"/>
          <w:color w:val="auto"/>
        </w:rPr>
        <w:t>i.e.</w:t>
      </w:r>
      <w:r>
        <w:rPr>
          <w:rFonts w:ascii="Arial" w:cs="Arial" w:eastAsia="Arial" w:hAnsi="Arial"/>
          <w:sz w:val="18"/>
          <w:szCs w:val="18"/>
          <w:color w:val="auto"/>
        </w:rPr>
        <w:t>, the column headers) of the table above will be adjusted in the same manner as, and at the same time and for the same events for which, the conversion price is adjusted as a result of the operation of the provisions described above under the caption “—Conversion Rate Adjustments—Generally.” The numbers of additional shares in the table above will be adjusted in the same manner as, and at the same time and for the same events for which, the conversion rate is adjusted pursuant to the provisions described above under the caption “—Conversion Rate Adjustments—Generally.”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Make-Whole Fundamental Change</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We will notify noteholders, the trustee and the conversion agent (if other than the trustee) of each make-whole fundamental change in accordance with the provisions described above under the captions “—When the Notes May Be Converted—Conversion upon Specified Corporate Events—Certain Corporate Events” and “—Optional Redemption.”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Enforceability</w:t>
      </w:r>
    </w:p>
    <w:p>
      <w:pPr>
        <w:spacing w:after="0" w:line="126" w:lineRule="exact"/>
        <w:rPr>
          <w:sz w:val="20"/>
          <w:szCs w:val="20"/>
          <w:color w:val="auto"/>
        </w:rPr>
      </w:pPr>
    </w:p>
    <w:p>
      <w:pPr>
        <w:ind w:left="120" w:right="160" w:firstLine="551"/>
        <w:spacing w:after="0" w:line="274" w:lineRule="auto"/>
        <w:rPr>
          <w:sz w:val="20"/>
          <w:szCs w:val="20"/>
          <w:color w:val="auto"/>
        </w:rPr>
      </w:pPr>
      <w:r>
        <w:rPr>
          <w:rFonts w:ascii="Arial" w:cs="Arial" w:eastAsia="Arial" w:hAnsi="Arial"/>
          <w:sz w:val="17"/>
          <w:szCs w:val="17"/>
          <w:color w:val="auto"/>
        </w:rPr>
        <w:t>Our obligation to increase the conversion rate as described above in connection with a make-whole fundamental change could be considered a penalty, in which case its enforceability would be subject to general principles of reasonableness and equitable remedies.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Common Stock Change Event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occurs any:</w:t>
      </w:r>
    </w:p>
    <w:p>
      <w:pPr>
        <w:spacing w:after="0" w:line="117" w:lineRule="exact"/>
        <w:rPr>
          <w:sz w:val="20"/>
          <w:szCs w:val="20"/>
          <w:color w:val="auto"/>
        </w:rPr>
      </w:pPr>
    </w:p>
    <w:p>
      <w:pPr>
        <w:ind w:left="880" w:hanging="224"/>
        <w:spacing w:after="0" w:line="248"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recapitalization, reclassification or change of our common stock, other than (x) changes solely resulting from a subdivision or combination of our common stock, (y) a change only in par value or from par value to no par value or no par value to par value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(z) stock splits and stock combinations that do not involve the issuance of any other series or class of securities;</w:t>
      </w:r>
    </w:p>
    <w:p>
      <w:pPr>
        <w:spacing w:after="0" w:line="117" w:lineRule="exact"/>
        <w:rPr>
          <w:rFonts w:ascii="Arial" w:cs="Arial" w:eastAsia="Arial" w:hAnsi="Arial"/>
          <w:sz w:val="17"/>
          <w:szCs w:val="17"/>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consolidation, merger, combination or binding or statutory share exchange involving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 lease or other transfer of all or substantially all of the assets of us and our subsidiaries, taken as a whole, to any person;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similar event,</w:t>
      </w:r>
    </w:p>
    <w:p>
      <w:pPr>
        <w:spacing w:after="0" w:line="21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and, as a result of which, our common stock is converted into, or is exchanged for, or represents solely the right to receive, other securities, cash or other property, or any combination of the foregoing (such an event, a “common stock change event,” and such other securities, cash or property, the “reference property,” and the amount and kind of reference property that a holder of one share of our common stock would be entitled to receive on account of such common stock change event (without giving effect to any arrangement not to issue or deliver a fractional portion of any security or other property), a “reference property unit”), then, notwithstanding anything to the contrary,</w:t>
      </w:r>
    </w:p>
    <w:p>
      <w:pPr>
        <w:spacing w:after="0" w:line="110" w:lineRule="exact"/>
        <w:rPr>
          <w:sz w:val="20"/>
          <w:szCs w:val="20"/>
          <w:color w:val="auto"/>
        </w:rPr>
      </w:pPr>
    </w:p>
    <w:p>
      <w:pPr>
        <w:ind w:left="880" w:hanging="224"/>
        <w:spacing w:after="0" w:line="24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and after the effective time of such common stock change event, (i) the consideration due upon conversion of any note, and the conditions to any such conversion, will be determined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7" w:lineRule="auto"/>
        <w:rPr>
          <w:sz w:val="20"/>
          <w:szCs w:val="20"/>
          <w:color w:val="auto"/>
        </w:rPr>
      </w:pPr>
      <w:r>
        <w:rPr>
          <w:rFonts w:ascii="Arial" w:cs="Arial" w:eastAsia="Arial" w:hAnsi="Arial"/>
          <w:sz w:val="18"/>
          <w:szCs w:val="18"/>
          <w:color w:val="auto"/>
        </w:rPr>
        <w:t>the same manner as if each reference to any number of shares of common stock in the provisions described under this “— Conversion Rights” section (or in any related definitions) were instead a reference to the same number of reference property units; (ii) for purposes of the redemption provisions described above under the caption “—Optional Redemption,” each reference to any number of shares of our common stock in such provisions (or in any related definitions) will instead be deemed to be a reference to the same number of reference property units; and (iii) for purposes of the definition of “fundamental change” and “make-whole fundamental change,” the terms “common stock” and “common equity” will be deemed to mean the common equity (including depositary receipts representing common equity), if any, forming part of such reference property;</w:t>
      </w:r>
    </w:p>
    <w:p>
      <w:pPr>
        <w:spacing w:after="0" w:line="108" w:lineRule="exact"/>
        <w:rPr>
          <w:sz w:val="20"/>
          <w:szCs w:val="20"/>
          <w:color w:val="auto"/>
        </w:rPr>
      </w:pPr>
    </w:p>
    <w:p>
      <w:pPr>
        <w:ind w:left="880" w:right="24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such reference property unit consists entirely of cash, then we will be deemed to elect physical settlement in respect of all conversions whose conversion date occurs on or after the effective date of such common stock change event and will pay the cash due upon such conversions no later than the second business day after the relevant conversion date; and</w:t>
      </w:r>
    </w:p>
    <w:p>
      <w:pPr>
        <w:spacing w:after="0" w:line="108" w:lineRule="exact"/>
        <w:rPr>
          <w:rFonts w:ascii="Arial" w:cs="Arial" w:eastAsia="Arial" w:hAnsi="Arial"/>
          <w:sz w:val="18"/>
          <w:szCs w:val="18"/>
          <w:color w:val="auto"/>
        </w:rPr>
      </w:pPr>
    </w:p>
    <w:p>
      <w:pPr>
        <w:ind w:left="880" w:right="40" w:hanging="224"/>
        <w:spacing w:after="0" w:line="23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us (or, in the case of cash denominated in U.S. dollars, the face amount thereof).</w:t>
      </w:r>
    </w:p>
    <w:p>
      <w:pPr>
        <w:spacing w:after="0" w:line="20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our common stock, by the holders of our common stock. We will notify the noteholders, the trustee and the conversion agent (if other than the trustee) of such weighted average as soon as practicable after such determination is made.</w:t>
      </w:r>
    </w:p>
    <w:p>
      <w:pPr>
        <w:spacing w:after="0" w:line="20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will not become a party to any common stock change event unless its terms are consistent with the provisions described under this “—Effect of Common Stock Change Event” caption.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Execution of Supplemental Indenture</w:t>
      </w:r>
    </w:p>
    <w:p>
      <w:pPr>
        <w:spacing w:after="0" w:line="126"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18"/>
          <w:szCs w:val="18"/>
          <w:color w:val="auto"/>
        </w:rPr>
        <w:t>At or before the effective time of the common stock change event, we and the resulting, surviving or transferee person (if not us) of such common stock change event (the “successor person”) will execute and deliver to the trustee a supplemental indenture that</w:t>
      </w:r>
    </w:p>
    <w:p>
      <w:pPr>
        <w:ind w:left="320" w:hanging="204"/>
        <w:spacing w:after="0" w:line="236"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provides for subsequent adjustments to the conversion rate in a manner consistent with the provisions described above; and</w:t>
      </w:r>
    </w:p>
    <w:p>
      <w:pPr>
        <w:ind w:left="120" w:right="40" w:hanging="4"/>
        <w:spacing w:after="0" w:line="238" w:lineRule="auto"/>
        <w:tabs>
          <w:tab w:leader="none" w:pos="3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contains such other provisions, if any, that we reasonably determine are appropriate to preserve the economic interests of the noteholders and to give effect to the provisions described above.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we reasonably determine are appropriate to preserve the economic interests of noteholders.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Common Stock Change Event</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will provide notice of each common stock change event to noteholders no later than the second business day after the effective date of the common stock change event.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in Lieu of Conversion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Notwithstanding anything to the contrary, and subject to the terms of the indenture, if a note is submitted for conversion, we may elect to arrange to have such note exchanged in lieu of conversion by a financial institution we designate. To make such election, we must send notice of such election to the holder of such note, the trustee and the conversion agent (if other than the trustee) before the close of business on the business day immediately following the conversion date for such note, and we must arrange for the financial institution to deliver the consideration due upon such conversion in the same manner and at the same time as we would have been required to do so. We will remain responsible to deliver such consideration if the financial institution fails to timely deliver the same.</w:t>
      </w:r>
    </w:p>
    <w:p>
      <w:pPr>
        <w:spacing w:after="0" w:line="205" w:lineRule="exact"/>
        <w:rPr>
          <w:sz w:val="20"/>
          <w:szCs w:val="20"/>
          <w:color w:val="auto"/>
        </w:rPr>
      </w:pPr>
    </w:p>
    <w:p>
      <w:pPr>
        <w:ind w:left="120" w:right="700" w:firstLine="551"/>
        <w:spacing w:after="0"/>
        <w:rPr>
          <w:sz w:val="20"/>
          <w:szCs w:val="20"/>
          <w:color w:val="auto"/>
        </w:rPr>
      </w:pPr>
      <w:r>
        <w:rPr>
          <w:rFonts w:ascii="Arial" w:cs="Arial" w:eastAsia="Arial" w:hAnsi="Arial"/>
          <w:sz w:val="18"/>
          <w:szCs w:val="18"/>
          <w:color w:val="auto"/>
        </w:rPr>
        <w:t>We, the conversion agent and the holders surrendering their notes for conversion will cooperate to cause such notes to be delivered to the designated financial institution and the conversion agent will be entitled to conclusively rely on our instruction in connection with effecting any exchange election and will have no liability for any such exchange election outside of its control.</w:t>
      </w:r>
    </w:p>
    <w:p>
      <w:pPr>
        <w:spacing w:after="0" w:line="203"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Any notes exchanged by the designated financial institution will remain outstanding, notwithstanding the surrender of such notes and will be subject to the applicable procedures of the depositary.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Equitable Adjustments to Prices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Whenever the indenture requires us to calculate the average of the last reported sale prices, or any function thereof, over a period of multiple days (including to calculate the stock price or an adjustment to the conversion rate), or to calculate daily VWAPs over an observation period, we will make proportionate adjustments to those calculations to account for any adjustment to the conversion rate pursuant to paragraph (1) above under the caption “—Conversion Rights—Conversion Rate Adjustments—Generally” that becomes effective, or any event requiring such an adjustment to the conversion rate where the ex-dividend date or effective date, as applicable, of such event occurs, at any time during such period or observation period, as applicable.</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Fundamental Change Permits Noteholders to Require Us to Repurchase Notes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If a fundamental change occurs, then each noteholder will have the right (the “fundamental change repurchase right”) to require us to repurchase its notes (or any portion thereof in an authorized denomination) for cash on a date (the “fundamental change repurchase date”) of our choosing, which must be a business day that is no more than 35, nor less than 20, business days after the date we send the related fundamental change notice, as described below.</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 record date and on or before the next interest payment date, then (i) the holder of such note at the close of business on such regular record date will be entitled, notwithstanding such repurchase, to receive, on or, at our election, before such interest payment date, the unpaid interest that would have accrued on such note to, but excluding, such interest payment date; and (ii) the fundamental change repurchase price will not include accrued and unpaid interest on such note to, but excluding, the fundamental change repurchase date.</w:t>
      </w:r>
    </w:p>
    <w:p>
      <w:pPr>
        <w:spacing w:after="0" w:line="203"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Notwithstanding anything to the contrary above, we may not repurchase any notes if the principal amount of the notes has been accelerated and such acceleration has not been rescinded on or before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fundamental change repurchase date (including a rescission as a result of the payment of the related fundamental change repurchase price and any related interest described above on the fundamental change repurchase date).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Fundamental Change</w:t>
      </w:r>
    </w:p>
    <w:p>
      <w:pPr>
        <w:spacing w:after="0" w:line="126" w:lineRule="exact"/>
        <w:rPr>
          <w:sz w:val="20"/>
          <w:szCs w:val="20"/>
          <w:color w:val="auto"/>
        </w:rPr>
      </w:pPr>
    </w:p>
    <w:p>
      <w:pPr>
        <w:jc w:val="both"/>
        <w:ind w:left="120" w:right="180" w:firstLine="551"/>
        <w:spacing w:after="0" w:line="238" w:lineRule="auto"/>
        <w:rPr>
          <w:sz w:val="20"/>
          <w:szCs w:val="20"/>
          <w:color w:val="auto"/>
        </w:rPr>
      </w:pPr>
      <w:r>
        <w:rPr>
          <w:rFonts w:ascii="Arial" w:cs="Arial" w:eastAsia="Arial" w:hAnsi="Arial"/>
          <w:sz w:val="18"/>
          <w:szCs w:val="18"/>
          <w:color w:val="auto"/>
        </w:rPr>
        <w:t>On or before the 20th calendar day after the effective date of a fundamental change, we will send to each noteholder (with a copy to the trustee and the conversion agent (if other than the trustee)) notice of such fundamental change containing certain information set forth in the indenture, including the fundamental change repurchase date, the fundamental change repurchase price and the procedures noteholders must follow to tender their notes for repurchase.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Procedures to Exercise the Fundamental Change Repurchase Right</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To exercise its fundamental change repurchase right with respect to a note, the holder thereof must deliver a notice (a “fundamental change repurchase notice”) to the paying agent before the close of business on the business day immediately before the related fundamental change repurchase date (or such later time as may be required by law).</w:t>
      </w:r>
    </w:p>
    <w:p>
      <w:pPr>
        <w:spacing w:after="0" w:line="203" w:lineRule="exact"/>
        <w:rPr>
          <w:sz w:val="20"/>
          <w:szCs w:val="20"/>
          <w:color w:val="auto"/>
        </w:rPr>
      </w:pPr>
    </w:p>
    <w:p>
      <w:pPr>
        <w:ind w:left="120" w:right="280" w:firstLine="551"/>
        <w:spacing w:after="0" w:line="274" w:lineRule="auto"/>
        <w:rPr>
          <w:sz w:val="20"/>
          <w:szCs w:val="20"/>
          <w:color w:val="auto"/>
        </w:rPr>
      </w:pPr>
      <w:r>
        <w:rPr>
          <w:rFonts w:ascii="Arial" w:cs="Arial" w:eastAsia="Arial" w:hAnsi="Arial"/>
          <w:sz w:val="17"/>
          <w:szCs w:val="17"/>
          <w:color w:val="auto"/>
        </w:rPr>
        <w:t>The fundamental change repurchase notice must contain certain information set forth in the indenture, including the certificate number of any physical notes to be repurchased, or must otherwise comply with the depositary procedures in the case of a global note.</w:t>
      </w:r>
    </w:p>
    <w:p>
      <w:pPr>
        <w:spacing w:after="0" w:line="17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 noteholder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the depositary procedures in the case of a global note.</w:t>
      </w:r>
    </w:p>
    <w:p>
      <w:pPr>
        <w:spacing w:after="0" w:line="202"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Notes to be repurchased must be delivered to the paying agent (in the case of physical notes) or the depositary procedures must be complied with (in the case of global notes) for the holder of those notes to be entitled to receive the fundamental change repurchase price.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will comply, in all material respects,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 However, to the extent that our obligations to offer to repurchase and to repurchase notes pursuant to the provisions described above conflict with any law or regulation that is applicable to us and enacted after the date we initially issue the notes, our compliance with such law or regulation will not be considered to be a default of those obligations.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by Third Party</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Notwithstanding anything to the contrary, we will be deemed to satisfy our obligations to repurchase notes pursuant to the provisions described above if (i) one or more third parties conduct the repurchase offer and repurchase tendered notes in a manner that would have satisfied our obligations to do the same if conducted directly by us and (ii) an owner of a beneficial interest in any note repurchased by such third party or parties will not receive a lesser amount (as a result of taxes,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expenses or for any other reason) than such owner would have received had we repurchased such note.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Repurchase Right in Certain Circumstances</w:t>
      </w:r>
    </w:p>
    <w:p>
      <w:pPr>
        <w:spacing w:after="0" w:line="126"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Notwithstanding anything to the contrary, we will not be required to send a fundamental change notice, or offer to repurchase or repurchase any notes, as described above, in connection with a fundamental change occurring pursuant to clause (ii)(2) (or pursuant to clause (i) that also constitutes a fundamental change occurring pursuant to clause (ii)(2)) of the definition thereof, if:</w:t>
      </w:r>
    </w:p>
    <w:p>
      <w:pPr>
        <w:spacing w:after="0" w:line="108" w:lineRule="exact"/>
        <w:rPr>
          <w:sz w:val="20"/>
          <w:szCs w:val="20"/>
          <w:color w:val="auto"/>
        </w:rPr>
      </w:pPr>
    </w:p>
    <w:p>
      <w:pPr>
        <w:ind w:left="880" w:right="280" w:hanging="224"/>
        <w:spacing w:after="0" w:line="24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fundamental change constitutes a common stock change event whose reference property consists, entirely or in part, of cash in U.S. dollars;</w:t>
      </w:r>
    </w:p>
    <w:p>
      <w:pPr>
        <w:spacing w:after="0" w:line="102" w:lineRule="exact"/>
        <w:rPr>
          <w:rFonts w:ascii="Arial" w:cs="Arial" w:eastAsia="Arial" w:hAnsi="Arial"/>
          <w:sz w:val="18"/>
          <w:szCs w:val="18"/>
          <w:color w:val="auto"/>
        </w:rPr>
      </w:pPr>
    </w:p>
    <w:p>
      <w:pPr>
        <w:ind w:left="880" w:right="60" w:hanging="224"/>
        <w:spacing w:after="0" w:line="23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after such fundamental change, the notes become convertible (pursuant to the provisions described above under the captions “—Conversion Rights—Effect of Common Stock Change Event” and, if applicable, “—Conversion Rights—Increase in Conversion Rate in Connection with a Make-Whole Fundamental Change”) into consideration that includes such cash in an amount per $1,000 principal amount of notes that equals or exceeds the fundamental change repurchase price per $1,000 principal amount of notes (calculated assuming that the same includes accrued and unpaid interest to, but excluding, the latest possible fundamental change repurchase date for such fundamental change); and</w:t>
      </w:r>
    </w:p>
    <w:p>
      <w:pPr>
        <w:spacing w:after="0" w:line="110" w:lineRule="exact"/>
        <w:rPr>
          <w:rFonts w:ascii="Arial" w:cs="Arial" w:eastAsia="Arial" w:hAnsi="Arial"/>
          <w:sz w:val="18"/>
          <w:szCs w:val="18"/>
          <w:color w:val="auto"/>
        </w:rPr>
      </w:pPr>
    </w:p>
    <w:p>
      <w:pPr>
        <w:ind w:left="880" w:right="340" w:hanging="224"/>
        <w:spacing w:after="0" w:line="238"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timely send the notice relating to such fundamental change required pursuant the provisions described above under the caption “—Conversion Rights—When the Notes May Be Converted—Conversion upon Specified Corporate Events—Certain Corporate Events” and include, in such notice, a statement that we are relying on the provisions described in this “—No Repurchase Right in Certain Circumstances” section.</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We refer to any fundamental change with respect to which, in accordance with the provisions described above, we do not offer to repurchase any notes as an “exempted fundamental change.”</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Consolidation, Merger and Asset Sale</w:t>
      </w:r>
    </w:p>
    <w:p>
      <w:pPr>
        <w:spacing w:after="0" w:line="23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 —Consolidation, Merger and Asset Sale” supersedes, in its entirety, the information in the accompanying prospectus under the caption “Consolidation, Merger and Sale of Assets.”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Events Involving Us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will not consolidate with or merge with or into, or (directly, or indirectly through one or more of our subsidiaries) sell, lease or otherwise transfer, in one transaction or a series of transactions, all or substantially all of the assets of us and our subsidiaries, taken as a whole, to another person (a “business combination event”), unless:</w:t>
      </w:r>
    </w:p>
    <w:p>
      <w:pPr>
        <w:spacing w:after="0" w:line="108" w:lineRule="exact"/>
        <w:rPr>
          <w:sz w:val="20"/>
          <w:szCs w:val="20"/>
          <w:color w:val="auto"/>
        </w:rPr>
      </w:pPr>
    </w:p>
    <w:p>
      <w:pPr>
        <w:ind w:left="880" w:hanging="224"/>
        <w:spacing w:after="0" w:line="23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resulting, surviving or transferee person is us or, if not us, is (i) a corporation or (ii) if such business combination event constitutes an “exempted fundamental change,” a corporation, partnership, limited liability company or similar entity (in each case, the “successor entity”)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all of our obligations under the indenture and the notes; and</w:t>
      </w:r>
    </w:p>
    <w:p>
      <w:pPr>
        <w:spacing w:after="0" w:line="10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immediately after giving effect to such business combination event, no default or event of default will have occurred and be continuing.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At the effective time of a business combination event that complies with the provisions described above, the successor entity (if not us) will succeed to, and may exercise every right and power of, us under the indenture and the notes, and, except in the case of a lease, the predecessor company will be discharged from its obligations under the indenture and the notes.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Events Involving the Guarantor</w:t>
      </w:r>
    </w:p>
    <w:p>
      <w:pPr>
        <w:spacing w:after="0" w:line="126"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The guarantor will not consolidate with or merge with or into, or sell, lease or otherwise transfer, in one transaction or a series of transactions, all or substantially all of the assets of the guarantor and its subsidiaries, taken as a whole, to another person (a “guarantor business combination event”), unless:</w:t>
      </w:r>
    </w:p>
    <w:p>
      <w:pPr>
        <w:spacing w:after="0" w:line="108" w:lineRule="exact"/>
        <w:rPr>
          <w:sz w:val="20"/>
          <w:szCs w:val="20"/>
          <w:color w:val="auto"/>
        </w:rPr>
      </w:pPr>
    </w:p>
    <w:p>
      <w:pPr>
        <w:ind w:left="880" w:hanging="224"/>
        <w:spacing w:after="0" w:line="238"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resulting, surviving or transferee person is the guarantor or, if not the guarantor, is a person (the “successor guarantor person”) duly organized and existing under the laws of the United States of America, any State thereof or the District of Columbia that expressly assumes (by executing and delivering to the trustee, at or before the effective time of such guarantor business combination event, a supplemental indenture) all of the guarantor’s obligations under the indenture and the notes; and</w:t>
      </w:r>
    </w:p>
    <w:p>
      <w:pPr>
        <w:spacing w:after="0" w:line="110"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after giving effect to such guarantor business combination event, no default or event of default will have occurred and be continuing.</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At the effective time of a guarantor business combination event that complies with the provisions described above, the successor guarantor person (if not the guarantor) will succeed to, and may exercise every right and power of, the guarantor under the indenture and the notes, and, except in the case of a lease, the predecessor company will be discharged from its obligations under the indenture and the notes.</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Notwithstanding anything to the contrary above, the provisions described in this “—Consolidation, Merger and Asset Sale” section will not apply to any transfer of assets between or among us and any one or more of our “wholly owned subsidiaries” (as defined below under the caption “—Definitions”) not effected by merger or consolidation.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Leases and Transfers of Less than All Assets</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The definitions of “business combination event” and “guarantor business combination event” include a reference to “all or substantially all” of our and our subsidiaries’ assets or of the guarantor’s and its subsidiaries’ assets. There is no precise, established definition of the phrase “all or substantially all” under applicable law. Accordingly, there may be uncertainty as to whether the provisions described above would apply to a sale, lease or transfer of less than all of our and our subsidiaries’ assets or of the guarantor’s and its subsidiaries’ assets.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Events of Default</w:t>
      </w:r>
    </w:p>
    <w:p>
      <w:pPr>
        <w:spacing w:after="0" w:line="234"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“—Events of Default” supersedes, in its entirety, the information in the accompanying prospectus under the caption “Events of Default.”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“event of default” means the occurrence of any of the following:</w:t>
      </w:r>
    </w:p>
    <w:p>
      <w:pPr>
        <w:spacing w:after="0" w:line="117" w:lineRule="exact"/>
        <w:rPr>
          <w:sz w:val="20"/>
          <w:szCs w:val="20"/>
          <w:color w:val="auto"/>
        </w:rPr>
      </w:pPr>
    </w:p>
    <w:p>
      <w:pPr>
        <w:ind w:left="1300" w:right="640" w:hanging="644"/>
        <w:spacing w:after="0" w:line="246"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upon redemption, repurchase upon fundamental change or otherwise) of the principal of, or the redemption price or fundamental change repurchase price for, any note;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default for 30 consecutive days in the payment when due of interest on any note;</w:t>
      </w:r>
    </w:p>
    <w:p>
      <w:pPr>
        <w:spacing w:after="0" w:line="117" w:lineRule="exact"/>
        <w:rPr>
          <w:rFonts w:ascii="Arial" w:cs="Arial" w:eastAsia="Arial" w:hAnsi="Arial"/>
          <w:sz w:val="18"/>
          <w:szCs w:val="18"/>
          <w:color w:val="auto"/>
        </w:rPr>
      </w:pPr>
    </w:p>
    <w:p>
      <w:pPr>
        <w:ind w:left="1300" w:right="240" w:hanging="644"/>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failure to deliver, when required by the indenture, a fundamental change notice or a notice pursuant to the provisions described above under the caption “—Conversion Rights—When the Notes May Be Converted—Conversion upon Specified Corporate Events,” if (in the case of any notice other than a notice pursuant to the provisions described above under the caption “—Conversion Rights—When the Notes May Be Converted—Conversion upon Specified Corporate Events—Certain Distributions”) such failure is not cured within five business days after its occurrence;</w:t>
      </w:r>
    </w:p>
    <w:p>
      <w:pPr>
        <w:spacing w:after="0" w:line="107" w:lineRule="exact"/>
        <w:rPr>
          <w:rFonts w:ascii="Arial" w:cs="Arial" w:eastAsia="Arial" w:hAnsi="Arial"/>
          <w:sz w:val="18"/>
          <w:szCs w:val="18"/>
          <w:color w:val="auto"/>
        </w:rPr>
      </w:pPr>
    </w:p>
    <w:p>
      <w:pPr>
        <w:ind w:left="1300" w:right="100" w:hanging="644"/>
        <w:spacing w:after="0" w:line="246"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default in our obligation to convert a note in accordance with the indenture upon the exercise of the conversion right with respect thereto, if such default is not cured within five business days after its occurrence;</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default in our or the guarantor’s obligations described above under the caption “—Consolidation, Merger and Asset Sale”;</w:t>
      </w:r>
    </w:p>
    <w:p>
      <w:pPr>
        <w:spacing w:after="0" w:line="117" w:lineRule="exact"/>
        <w:rPr>
          <w:rFonts w:ascii="Arial" w:cs="Arial" w:eastAsia="Arial" w:hAnsi="Arial"/>
          <w:sz w:val="18"/>
          <w:szCs w:val="18"/>
          <w:color w:val="auto"/>
        </w:rPr>
      </w:pPr>
    </w:p>
    <w:p>
      <w:pPr>
        <w:ind w:left="1300" w:hanging="644"/>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default in any of our or the guarantor’s obligations or agreements under the indenture or the notes (other than a default set forth in paragraphs (1), (2), (3), (4) or (5) above) where such default is not cured or waived within 60 days after notice to us by the trustee, or to us and the trustee by holders of at least 25% of the aggregate principal amount of notes then outstanding, which notice must specify such default, demand that it be remedied and state that such notice is a “notice of default”;</w:t>
      </w:r>
    </w:p>
    <w:p>
      <w:pPr>
        <w:spacing w:after="0" w:line="107" w:lineRule="exact"/>
        <w:rPr>
          <w:rFonts w:ascii="Arial" w:cs="Arial" w:eastAsia="Arial" w:hAnsi="Arial"/>
          <w:sz w:val="18"/>
          <w:szCs w:val="18"/>
          <w:color w:val="auto"/>
        </w:rPr>
      </w:pPr>
    </w:p>
    <w:p>
      <w:pPr>
        <w:ind w:left="1300" w:right="20" w:hanging="644"/>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default by us or the guarantor with respect to any one or more mortgages, agreements or other instruments under which there is outstanding, or by which there is secured or evidenced, any indebtedness for money borrowed of at least $150,000,000 (or its foreign currency equivalent) in the aggregate of us or the guarantor, whether such indebtedness exists as of the date we first issue the notes or is thereafter created, where such default:</w:t>
      </w:r>
    </w:p>
    <w:p>
      <w:pPr>
        <w:spacing w:after="0" w:line="110" w:lineRule="exact"/>
        <w:rPr>
          <w:rFonts w:ascii="Arial" w:cs="Arial" w:eastAsia="Arial" w:hAnsi="Arial"/>
          <w:sz w:val="18"/>
          <w:szCs w:val="18"/>
          <w:color w:val="auto"/>
        </w:rPr>
      </w:pPr>
    </w:p>
    <w:p>
      <w:pPr>
        <w:ind w:left="2200" w:right="40" w:hanging="437"/>
        <w:spacing w:after="0"/>
        <w:tabs>
          <w:tab w:leader="none" w:pos="2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08" w:lineRule="exact"/>
        <w:rPr>
          <w:rFonts w:ascii="Arial" w:cs="Arial" w:eastAsia="Arial" w:hAnsi="Arial"/>
          <w:sz w:val="18"/>
          <w:szCs w:val="18"/>
          <w:color w:val="auto"/>
        </w:rPr>
      </w:pPr>
    </w:p>
    <w:p>
      <w:pPr>
        <w:ind w:left="2200" w:hanging="437"/>
        <w:spacing w:after="0"/>
        <w:tabs>
          <w:tab w:leader="none" w:pos="2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results in such indebtedness becoming or being declared due and payable before its stated maturity,</w:t>
      </w:r>
    </w:p>
    <w:p>
      <w:pPr>
        <w:spacing w:after="0" w:line="104" w:lineRule="exact"/>
        <w:rPr>
          <w:sz w:val="20"/>
          <w:szCs w:val="20"/>
          <w:color w:val="auto"/>
        </w:rPr>
      </w:pPr>
    </w:p>
    <w:p>
      <w:pPr>
        <w:ind w:left="1220" w:right="500"/>
        <w:spacing w:after="0" w:line="246" w:lineRule="auto"/>
        <w:rPr>
          <w:sz w:val="20"/>
          <w:szCs w:val="20"/>
          <w:color w:val="auto"/>
        </w:rPr>
      </w:pPr>
      <w:r>
        <w:rPr>
          <w:rFonts w:ascii="Arial" w:cs="Arial" w:eastAsia="Arial" w:hAnsi="Arial"/>
          <w:sz w:val="18"/>
          <w:szCs w:val="18"/>
          <w:color w:val="auto"/>
        </w:rPr>
        <w:t>in each case where such default is not cured or waived within 30 days after notice to us by the trustee or to us and the trustee by holders of at least 25% of the aggregate principal amount of notes then outstanding;</w:t>
      </w:r>
    </w:p>
    <w:p>
      <w:pPr>
        <w:spacing w:after="0" w:line="102" w:lineRule="exact"/>
        <w:rPr>
          <w:sz w:val="20"/>
          <w:szCs w:val="20"/>
          <w:color w:val="auto"/>
        </w:rPr>
      </w:pPr>
    </w:p>
    <w:p>
      <w:pPr>
        <w:ind w:left="1300" w:right="880" w:hanging="644"/>
        <w:spacing w:after="0" w:line="246"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with respect to us, the guarantor or any of our or the guarantor’s respective “significant subsidiaries” (as defined below under the caption “</w:t>
      </w:r>
      <w:r>
        <w:rPr>
          <w:rFonts w:ascii="Arial" w:cs="Arial" w:eastAsia="Arial" w:hAnsi="Arial"/>
          <w:sz w:val="18"/>
          <w:szCs w:val="18"/>
          <w:i w:val="1"/>
          <w:iCs w:val="1"/>
          <w:color w:val="auto"/>
        </w:rPr>
        <w:t>—</w:t>
      </w:r>
      <w:r>
        <w:rPr>
          <w:rFonts w:ascii="Arial" w:cs="Arial" w:eastAsia="Arial" w:hAnsi="Arial"/>
          <w:sz w:val="18"/>
          <w:szCs w:val="18"/>
          <w:color w:val="auto"/>
        </w:rPr>
        <w:t>Definitions”); and</w:t>
      </w:r>
    </w:p>
    <w:p>
      <w:pPr>
        <w:spacing w:after="0" w:line="102" w:lineRule="exact"/>
        <w:rPr>
          <w:rFonts w:ascii="Arial" w:cs="Arial" w:eastAsia="Arial" w:hAnsi="Arial"/>
          <w:sz w:val="18"/>
          <w:szCs w:val="18"/>
          <w:color w:val="auto"/>
        </w:rPr>
      </w:pPr>
    </w:p>
    <w:p>
      <w:pPr>
        <w:ind w:left="1300" w:right="280" w:hanging="644"/>
        <w:spacing w:after="0" w:line="246"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guarantee ceases to be in full force and effect or the guarantor denies or disaffirms in writing its obligations under its guarantee.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an event of default described in paragraph (8) above occurs with respect to us or the guarantor (and not solely with respect to a significant subsidiary of ours or the guarantor), then the principal amount of, and all accrued and unpaid interest on, all of the notes then outstanding will immediately become due and payable without any further action or notice by any person. If an event of default (other than an event of default described in paragraph (8) above with respect to us or the guarantor and not solely with respect to a significant subsidiary of ours or the guarantor) occurs and is continuing, then, except as described below under the caption “—Special Interest as Sole Remedy for Certain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Reporting Defaults,” the trustee, by notice to us, or noteholders of at least 25% of the aggregate principal amount of notes then outstanding, by notice to us and the trustee, may declare the principal amount of, and all accrued and unpaid interest on, all of the notes then outstanding to become due and payable immediately.</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Noteholders of a majority in aggregate principal amount of the notes then outstanding, by notice to us and the trustee, may, on behalf of all noteholders,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202" w:lineRule="exact"/>
        <w:rPr>
          <w:sz w:val="20"/>
          <w:szCs w:val="20"/>
          <w:color w:val="auto"/>
        </w:rPr>
      </w:pPr>
    </w:p>
    <w:p>
      <w:pPr>
        <w:ind w:left="120" w:firstLine="551"/>
        <w:spacing w:after="0" w:line="274" w:lineRule="auto"/>
        <w:rPr>
          <w:sz w:val="20"/>
          <w:szCs w:val="20"/>
          <w:color w:val="auto"/>
        </w:rPr>
      </w:pPr>
      <w:r>
        <w:rPr>
          <w:rFonts w:ascii="Arial" w:cs="Arial" w:eastAsia="Arial" w:hAnsi="Arial"/>
          <w:sz w:val="17"/>
          <w:szCs w:val="17"/>
          <w:color w:val="auto"/>
        </w:rPr>
        <w:t>If any portion of the amount payable on the notes upon acceleration is considered by a court to be unearned interest (through the allocation of the value of the instrument to the embedded warrant or otherwise), then the court could disallow recovery of any such portion.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of Past Defaults</w:t>
      </w:r>
    </w:p>
    <w:p>
      <w:pPr>
        <w:spacing w:after="0" w:line="126" w:lineRule="exact"/>
        <w:rPr>
          <w:sz w:val="20"/>
          <w:szCs w:val="20"/>
          <w:color w:val="auto"/>
        </w:rPr>
      </w:pPr>
    </w:p>
    <w:p>
      <w:pPr>
        <w:jc w:val="both"/>
        <w:ind w:left="120" w:right="220" w:firstLine="551"/>
        <w:spacing w:after="0" w:line="238" w:lineRule="auto"/>
        <w:rPr>
          <w:sz w:val="20"/>
          <w:szCs w:val="20"/>
          <w:color w:val="auto"/>
        </w:rPr>
      </w:pPr>
      <w:r>
        <w:rPr>
          <w:rFonts w:ascii="Arial" w:cs="Arial" w:eastAsia="Arial" w:hAnsi="Arial"/>
          <w:sz w:val="18"/>
          <w:szCs w:val="18"/>
          <w:color w:val="auto"/>
        </w:rPr>
        <w:t>An event of default pursuant to paragraph (1), (2), (4) or (6) above (that, in the case of paragraph (6) only, results from a default under any covenant that cannot be amended without the consent of each affected noteholder), and a default that could lead to such an event of default, can be waived only with the consent of each affected noteholder. Each other default or event of default may be waived, on behalf of all noteholders, by noteholders of a majority in aggregate principal amount of the notes then outstanding.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Defaults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If a default or event of default occurs, then we will, within 30 days after its first occurrence, notify the trustee, setting forth what action we are taking or propose to take with respect thereto. We must also provide the trustee annually with a certificate as to whether any defaults or events of default have occurred or are continuing. If a default or event of default occurs and is continuing and is actually known to a responsible officer of the trustee, then the trustee must notify the noteholders of the same within 90 days after it occurs or, if it is not actually known to a responsible officer of the trustee at such time, promptly (and in any event within 10 business days) after it becomes actually known to a responsible officer of the trustee. However, except in the case of a default or event of default in the payment of the principal of, or interest on, any note, the trustee may withhold such notice if and for so long as it in good faith determines that withholding such notice is in the interests of the noteholders.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Suits; Absolute Rights of Noteholders</w:t>
      </w:r>
    </w:p>
    <w:p>
      <w:pPr>
        <w:spacing w:after="0" w:line="12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Except with respect to the rights referred to below, no noteholder may pursue any remedy with respect to the indenture or the notes, unless:</w:t>
      </w:r>
    </w:p>
    <w:p>
      <w:pPr>
        <w:spacing w:after="0" w:line="102"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noteholder has previously delivered to the trustee notice that an event of default is continuing;</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noteholders of at least 25% in aggregate principal amount of the notes then outstanding deliver a written request to the trustee to pursue such remedy;</w:t>
      </w:r>
    </w:p>
    <w:p>
      <w:pPr>
        <w:spacing w:after="0" w:line="102"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noteholder(s) offer and, if requested, provide to the trustee security and indemnity satisfactory to the trustee against any loss, liability or expense to the trustee that may result from the trustee’s following such request;</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does not comply with such request within 60 calendar days after its receipt of such request and such offer of security or indemnity;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such 60 calendar day period, noteholders of a majority in aggregate principal amount of the notes then outstanding do not deliver to the trustee a direction that is inconsistent with such request.</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However, notwithstanding anything to the contrary, but without limiting the provisions described in the third paragraph under the caption “—Modification and Amendment,” the right of each holder of a note to receive any payment or delivery, as applicable, of the principal of, or the redemption price or fundamental change repurchase price for, or any interest on, or the consideration due upon conversion of, such note on or after the respective due dates therefor, or to bring suit for the enforcement of any such payment or delivery on or after such respective due dates, will not be impaired or affected without the consent of such holder.</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Noteholders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the terms of the indenture, the trustee determines may be unduly prejudicial to the rights of other noteholders or may involve the trustee in liability, unless the trustee is offered and if requested, provided security and indemnity satisfactory to the trustee against any loss, liability or expense to the trustee that may result from the trustee’s following such direction (it being understood that the trustee does not have an affirmative duty to determine whether any direction is prejudicial to any holder).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Default Interest</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Payments of any amounts due on the notes that are not made when due will accrue interest at a rate per annum equal to the stated interest on the notes.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Interest as Sole Remedy for Certain Reporting Defaults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Notwithstanding anything to the contrary described above, we may elect that the sole remedy for any event of default (a “reporting event of default”) pursuant to paragraph (6) above arising from our failure to comply with our obligations described below under the caption “—Exchange Act Reports” (including our obligations under Section 314(a)(1) of the Trust Indenture Act) will, for each of the first 365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366th calendar day on which a reporting event of default has occurred and is continuing or if we fail to pay any accrued and unpaid special interest when due; and (ii) special interest will cease to accrue on any notes from, and including, such 366th calendar day.</w:t>
      </w:r>
    </w:p>
    <w:p>
      <w:pPr>
        <w:spacing w:after="0" w:line="20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Any special interest that accrues on a note will be payable on the same dates and in the same manner as the stated interest on such note and will accrue at a rate per annum equal to 0.25% of the principal amount thereof for the first 180 days on which special interest accrues and, thereafter, at a rate per annum equal to 0.50% of the principal amount thereof. However, in no event will special interest accrue on any day on a note at a combined rate per annum that exceeds 0.50%. For the avoidance of doubt, any special interest that accrues on a note will be in addition to the stated interest that accrues on such note.</w:t>
      </w:r>
    </w:p>
    <w:p>
      <w:pPr>
        <w:spacing w:after="0" w:line="20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To make the election to pay special interest as described above, we must provide notice of such election to noteholders (with a copy to the trustee)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Amendment</w:t>
      </w:r>
    </w:p>
    <w:p>
      <w:pPr>
        <w:spacing w:after="0" w:line="234"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“—Modification and Amendment” supersedes, in its entirety, the information in the accompanying prospectus under the caption “Modification and Waiver.”</w:t>
      </w:r>
    </w:p>
    <w:p>
      <w:pPr>
        <w:spacing w:after="0" w:line="197"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We, the guarantor and the trustee may, with the consent of holders of a majority in aggregate principal amount of the notes then outstanding, amend or supplement the indenture or the notes or waive compliance with any provision of the indenture or the notes. However, without the consent of each affected noteholder, no amendment or supplement to the indenture or the notes, or waiver of any provision of the indenture or the notes, may:</w:t>
      </w:r>
    </w:p>
    <w:p>
      <w:pPr>
        <w:spacing w:after="0" w:line="110"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principal, or extend the stated maturity, of any note;</w:t>
      </w:r>
    </w:p>
    <w:p>
      <w:pPr>
        <w:spacing w:after="0" w:line="117" w:lineRule="exact"/>
        <w:rPr>
          <w:rFonts w:ascii="Arial" w:cs="Arial" w:eastAsia="Arial" w:hAnsi="Arial"/>
          <w:sz w:val="18"/>
          <w:szCs w:val="18"/>
          <w:color w:val="auto"/>
        </w:rPr>
      </w:pPr>
    </w:p>
    <w:p>
      <w:pPr>
        <w:ind w:left="880" w:right="800" w:hanging="224"/>
        <w:spacing w:after="0" w:line="24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redemption price or fundamental change repurchase price for any note or change the times at which, or the circumstances under which, the notes may or will be redeemed or repurchased by us;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rate, or extend the time for the payment, of interest on any note;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impair the absolute rights of any holder of a note to receive any payment or delivery, as applicable, of the principal of, or the redemption price or fundamental change repurchase price for, or any interest on, or the consideration due upon conversion of, such note on or after the respective due dates therefor, or to bring suit for the enforcement of any such payment or delivery on or after such due dates;</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ranking of the notes or the guarantee;</w:t>
      </w:r>
    </w:p>
    <w:p>
      <w:pPr>
        <w:spacing w:after="0" w:line="117" w:lineRule="exact"/>
        <w:rPr>
          <w:rFonts w:ascii="Arial" w:cs="Arial" w:eastAsia="Arial" w:hAnsi="Arial"/>
          <w:sz w:val="18"/>
          <w:szCs w:val="18"/>
          <w:color w:val="auto"/>
        </w:rPr>
      </w:pPr>
    </w:p>
    <w:p>
      <w:pPr>
        <w:ind w:left="880" w:right="14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release the guarantee of the guarantor or modify or amend the terms and conditions of the obligations of the guarantor, as guarantor of the notes, in any manner that is adverse to the rights of the noteholders, as such, other than any elimination of the guarantee in accordance with the indenture;</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note payable in money, or at a place of payment, other than that stated in the indenture or the note;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any amendment, supplement, waiver or other modification; or</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direct or indirect change to any amendment, supplement, waiver or modification provision of the indenture or the notes that requires the consent of each affected noteholder.</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For the avoidance of doubt, pursuant to the first four bullet points above, no amendment or supplement to the indenture or the notes, or waiver of any provision of the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noteholder.</w:t>
      </w:r>
    </w:p>
    <w:p>
      <w:pPr>
        <w:spacing w:after="0" w:line="20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Notwithstanding anything to the contrary above, we, the guarantor and the trustee may amend or supplement the indenture or the notes without the consent of any noteholder to:</w:t>
      </w:r>
    </w:p>
    <w:p>
      <w:pPr>
        <w:spacing w:after="0" w:line="102"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 in the indenture or the notes;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 additional guarantees with respect to our obligations under the indenture or the notes;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secure the notes or the guarantee;</w:t>
      </w:r>
    </w:p>
    <w:p>
      <w:pPr>
        <w:spacing w:after="0" w:line="117" w:lineRule="exact"/>
        <w:rPr>
          <w:rFonts w:ascii="Arial" w:cs="Arial" w:eastAsia="Arial" w:hAnsi="Arial"/>
          <w:sz w:val="18"/>
          <w:szCs w:val="18"/>
          <w:color w:val="auto"/>
        </w:rPr>
      </w:pPr>
    </w:p>
    <w:p>
      <w:pPr>
        <w:ind w:left="880" w:right="66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 to our or the guarantor’s covenants or events of default for the benefit of noteholders or surrender any right or power conferred on us or the guarantor;</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the assumption of our or the guarantor’s obligations under the indenture and the notes pursuant to, and in compliance with, the provisions described above under the caption “—Consolidation, Merger and Asset Sale”;</w:t>
      </w:r>
    </w:p>
    <w:p>
      <w:pPr>
        <w:spacing w:after="0" w:line="102"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supplemental indentures pursuant to, and in accordance with, the provisions described above under the caption “— Conversion Rights—Effect of Common Stock Change Event” in connection with a common stock change event;</w:t>
      </w:r>
    </w:p>
    <w:p>
      <w:pPr>
        <w:spacing w:after="0" w:line="84" w:lineRule="exact"/>
        <w:rPr>
          <w:rFonts w:ascii="Arial" w:cs="Arial" w:eastAsia="Arial" w:hAnsi="Arial"/>
          <w:sz w:val="18"/>
          <w:szCs w:val="18"/>
          <w:color w:val="auto"/>
        </w:rPr>
      </w:pPr>
    </w:p>
    <w:p>
      <w:pPr>
        <w:ind w:left="880" w:right="160" w:hanging="224"/>
        <w:spacing w:after="0" w:line="272"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irrevocably elect or eliminate any settlement method or specified dollar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election or elimination will affect any settlement method theretofore elected (or deemed to be elected) with respect to any note pursuant to the provisions described above under the caption “—Conversion Rights—Settlement upon Conversion—Settlement Method”;</w:t>
      </w:r>
    </w:p>
    <w:p>
      <w:pPr>
        <w:spacing w:after="0" w:line="82" w:lineRule="exact"/>
        <w:rPr>
          <w:rFonts w:ascii="Arial" w:cs="Arial" w:eastAsia="Arial" w:hAnsi="Arial"/>
          <w:sz w:val="17"/>
          <w:szCs w:val="17"/>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evidence or provide for the acceptance of the appointment of a successor trustee;</w:t>
      </w:r>
    </w:p>
    <w:p>
      <w:pPr>
        <w:spacing w:after="0" w:line="117" w:lineRule="exact"/>
        <w:rPr>
          <w:rFonts w:ascii="Arial" w:cs="Arial" w:eastAsia="Arial" w:hAnsi="Arial"/>
          <w:sz w:val="18"/>
          <w:szCs w:val="18"/>
          <w:color w:val="auto"/>
        </w:rPr>
      </w:pPr>
    </w:p>
    <w:p>
      <w:pPr>
        <w:ind w:left="880" w:right="74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conform the provisions of the indenture and the notes to the “Description of Notes” section in the preliminary prospectus supplement, as supplemented by the related pricing term sheet;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or confirm the issuance of additional notes pursuant to the indenture;</w:t>
      </w:r>
    </w:p>
    <w:p>
      <w:pPr>
        <w:spacing w:after="0" w:line="117" w:lineRule="exact"/>
        <w:rPr>
          <w:rFonts w:ascii="Arial" w:cs="Arial" w:eastAsia="Arial" w:hAnsi="Arial"/>
          <w:sz w:val="18"/>
          <w:szCs w:val="18"/>
          <w:color w:val="auto"/>
        </w:rPr>
      </w:pPr>
    </w:p>
    <w:p>
      <w:pPr>
        <w:ind w:left="880" w:right="200" w:hanging="224"/>
        <w:spacing w:after="0" w:line="238"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for any transfer restrictions that apply to any notes issued under the indenture (other than the notes issued in this offering, and any notes issued in exchange therefor or in substitution thereof) that, at the time of their original issuance, constitute “restricted securities” within the meaning of Rule 144 under the Securities Act or that are originally issued in reliance upon Regulation S under the Securities Act;</w:t>
      </w:r>
    </w:p>
    <w:p>
      <w:pPr>
        <w:spacing w:after="0" w:line="110"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comply with any requirement of the SEC in connection with effecting or maintaining the qualification of the indenture or any supplemental indenture under the Trust Indenture Act, as then in effect; or</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any other change to the indenture or the notes that does not, individually or in the aggregate with all other such changes, adversely affect the rights of noteholders, as such, in any material respect.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Reports</w:t>
      </w:r>
    </w:p>
    <w:p>
      <w:pPr>
        <w:spacing w:after="0" w:line="234"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will send to the trustee copies of all reports that we are required to file with the SEC pursuant to Section 13(a) or 15(d) of the Exchange Act within 15 calendar days after the date that we are required to so file the same (after giving effect to all applicable grace periods under the Exchange Act). However, we need not send to the trustee any material for which we have received, or are seeking in good faith and have not been denied, confidential treatment by the SEC. Any report that we file with the SEC through the EDGAR system (or any successor thereto) will be deemed to be sent to the trustee at the time such report is so filed via the EDGAR system (or such successor). Upon the written request of any noteholder, the trustee will provide to the noteholder a copy of any report that we have sent the trustee pursuant to the provisions described above, other than a report that is deemed to be sent to the trustee pursuant to the preceding sentence. We will also comply with our other obligations under Section 314(a)(1) of the Trust Indenture Act.</w:t>
      </w:r>
    </w:p>
    <w:p>
      <w:pPr>
        <w:spacing w:after="0" w:line="208"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Delivery of such reports to the trustee is for informational purposes only, and the trustee’s receipt thereof shall not constitute actual or constructive notice of any information contained therein, including our compliance with any covenants under the indenture (as to which the trustee is entitled to rely on certificates).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Discharge</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“—Discharge” supersedes, in its entirety, the information in the accompanying prospectus under the caption “Defeasance of Debt Securities and Certain Covenants in Certain Circumstances.”</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Subject to the terms of the indenture, our and the guarantor’s obligations with respect to the notes under the indenture will be discharged if we deliver all outstanding notes to the trustee for cancellation, or if all outstanding notes have become due and payable (including upon conversion, if the consideration due upon such conversion has been determined) and we have irrevocably deposited with the trustee, or caused to be delivered to noteholders, sufficient cash or other consideration to satisfy all such amounts that have become due and payable.</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Calculations</w:t>
      </w:r>
    </w:p>
    <w:p>
      <w:pPr>
        <w:spacing w:after="0" w:line="234"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We will be responsible for making all calculations called for under the indenture or the notes, including determinations of the last reported sale price, the daily conversion value, the daily cash amount, the daily share amount, accrued interest on the notes and the conversion rate. We will make all calculations in good faith, and, absent manifest error, our calculations will be final and binding on all noteholders. We will provide a schedule of our calculations to the trustee, and to any noteholder upon written request.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Trustee</w:t>
      </w:r>
    </w:p>
    <w:p>
      <w:pPr>
        <w:spacing w:after="0" w:line="23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trustee under the indenture is Wilmington Trust, National Association. The trustee assumes no responsibility for the accuracy or completeness of the information contained in this prospectus supplement or the related documents. The trustee and its affiliates have in the past provided and may from time to time in the future provide banking and other services to us in the ordinary course of business.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will send all notices or communications to noteholders pursuant to the indenture in writing by first class mail, certified or registered, return receipt requested, or by overnight air courier guaranteeing next day delivery, to the noteholders’ respective addresses shown on the register for the notes. However, in the case of global notes, we are permitted to send notices or communications to noteholders pursuant to the depositary procedures, and notices and communications that we send in this manner will be deemed to have been properly sent to such noteholders in writing.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34"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For purposes of the notes, the description below under this section titled “—No Personal Liability of Directors, Officers, Employees and Stockholders” supersedes, in its entirety, the information in the accompanying prospectus under the caption “No Personal Liability of Directors, Officers, Employees or Stockholders.”</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No past, present or future director, officer, employee, incorporator or stockholder of ours or the guarantor, as such, will have any liability for any obligations of ours or the guarantor under the indenture or the notes or for any claim based on, in respect of, or by reason of, such obligations or their creation. By accepting any note, each noteholder will be deemed to waive and release all such liability, and such waiver and release are part of the consideration for the issuance of the notes.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Governing Law; Waiver of Jury Trial</w:t>
      </w:r>
    </w:p>
    <w:p>
      <w:pPr>
        <w:spacing w:after="0" w:line="234"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For purposes of the notes, the description below under this section titled “—Governing Law” supersedes, in its entirety, the information in the accompanying prospectus under the caption “Governing Law.”</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indenture and the notes, and any claim, controversy or dispute arising under or related to the indenture or the notes, will be governed by and construed in accordance with the laws of the State of New York. The indenture will provide that we, the guarantor, the trustee and each holder (by its acceptance of any note) will irrevocably waive, to the fullest extent permitted by applicable law, any and all right to trial by jury in any legal proceeding arising out of or relating to the indenture, the notes, the guarantee or the transactions contemplated by the indenture, the notes or the guarantee.</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to Jurisdiction</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“specified courts”), and each party will be deemed to irrevocably submit to the non-exclusive jurisdiction of those courts in any such suit, action or proceeding. Service of any process, summons, notice or document by mail (to the extent allowed under any applicable statute or rule of court) to any party’s address as provided in the indenture will be effective service of process for any such suit, action or proceeding brought in any such court. Each of us, the guarantor, the trustee and each noteholder (by its acceptance of any note) will be deemed to irrevocably and unconditionally waive any objection to the laying of venue of any suit, action or other proceeding in the specified courts and to irrevocably and unconditionally waive and agree not to plead or claim any such suit, action or other proceeding has been brought in an inconvenient forum.</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“Affiliate” has the meaning set forth in Rule 144 under the Securities Act as in effect on the date we first issue the notes.</w:t>
      </w:r>
    </w:p>
    <w:p>
      <w:pPr>
        <w:spacing w:after="0" w:line="212"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“Bid solicitation agent” means the person who is required to obtain bids for the trading price in accordance with the provisions described under the caption “—Conversion Rights—When the Notes May Be Converted—Conversion upon Satisfaction of Note Trading Price Condition” and in the definition of “trading price.”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 our board of directors or a committee of such board duly authorized to act on behalf of such board.</w:t>
      </w:r>
    </w:p>
    <w:p>
      <w:pPr>
        <w:spacing w:after="0" w:line="21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“Business day” means any day other than a Saturday, a Sunday or any day on which the Federal Reserve Bank of New York is authorized or required by law or executive order to close or be closed.</w:t>
      </w:r>
    </w:p>
    <w:p>
      <w:pPr>
        <w:spacing w:after="0" w:line="197"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“Capital stock”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“Close of business” means 5:00 p.m., New York City time.</w:t>
      </w:r>
    </w:p>
    <w:p>
      <w:pPr>
        <w:spacing w:after="0" w:line="194" w:lineRule="exact"/>
        <w:rPr>
          <w:sz w:val="20"/>
          <w:szCs w:val="20"/>
          <w:color w:val="auto"/>
        </w:rPr>
      </w:pPr>
    </w:p>
    <w:p>
      <w:pPr>
        <w:jc w:val="center"/>
        <w:ind w:left="700" w:right="280"/>
        <w:spacing w:after="0" w:line="439" w:lineRule="auto"/>
        <w:rPr>
          <w:sz w:val="20"/>
          <w:szCs w:val="20"/>
          <w:color w:val="auto"/>
        </w:rPr>
      </w:pPr>
      <w:r>
        <w:rPr>
          <w:rFonts w:ascii="Arial" w:cs="Arial" w:eastAsia="Arial" w:hAnsi="Arial"/>
          <w:sz w:val="18"/>
          <w:szCs w:val="18"/>
          <w:color w:val="auto"/>
        </w:rPr>
        <w:t xml:space="preserve">“Conversion price” means, as of any time, an amount equal to (i)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conversion rate in effect at such time. S-92</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“Conversion rate” initially means 61.7284 shares of our common stock per $1,000 principal amount of notes, which amount is subject to adjustment as described above under the caption “—Conversion Rights.” Whenever in this prospectus supplement we refer to the conversion rate as of a particular date without setting forth a particular time on such date, such reference will be deemed to be to the conversion rate immediately after the close of business on such date.</w:t>
      </w:r>
    </w:p>
    <w:p>
      <w:pPr>
        <w:spacing w:after="0" w:line="205"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“Daily cash amount” means, with respect to any VWAP trading day, the lesser of (i) the applicable daily maximum cash amount; and (ii) the daily conversion value for such VWAP trading day.</w:t>
      </w:r>
    </w:p>
    <w:p>
      <w:pPr>
        <w:spacing w:after="0" w:line="197"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“Daily conversion value” means, with respect to any VWAP trading day, one-20th of the product of (i) the conversion rate on such VWAP trading day; and (ii) the daily VWAP per share of our common stock on such VWAP trading day.</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“Daily maximum cash amount” means, with respect to the conversion of any note, the quotient obtained by dividing (i) the specified dollar amount applicable to such conversion by (ii) 20.</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“Daily share amount” means, with respect to any VWAP trading day, the quotient obtained by dividing (i) the excess, if any, of the daily conversion value for such VWAP trading day over the applicable daily maximum cash amount by (ii) the daily VWAP for such VWAP trading day. For the avoidance of doubt, the daily share amount will be zero for such VWAP trading day if such daily conversion value does not exceed such daily maximum cash amount.</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“Daily VWAP” means, for any VWAP trading day, the per share volume-weighted average price of our common stock as displayed under the heading “Bloomberg VWAP” on Bloomberg page “AAL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our common stock on such VWAP trading day, determined, using a volume-weighted average price method, by a nationally recognized independent investment banking firm we select, which may include any of the underwriters). The daily VWAP will be determined without regard to after-hours trading or any other trading outside of the regular trading session.</w:t>
      </w:r>
    </w:p>
    <w:p>
      <w:pPr>
        <w:spacing w:after="0" w:line="203"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“Depositary procedures” means, with respect to any transfer, exchange or transaction involving a global note or any beneficial interest therein, the rules and procedures of the depositary applicable to such transfer, exchange or transaction.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means The Depository Trust Company.</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“Ex-dividend date” means, with respect to an issuance, dividend or distribution on our common stock, the first date on which shares of our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our common stock under a separate ticker symbol or CUSIP number will not be considered “regular way” for this purpose.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“Fundamental change” means any of the following events:</w:t>
      </w:r>
    </w:p>
    <w:p>
      <w:pPr>
        <w:spacing w:after="0" w:line="104" w:lineRule="exact"/>
        <w:rPr>
          <w:sz w:val="20"/>
          <w:szCs w:val="20"/>
          <w:color w:val="auto"/>
        </w:rPr>
      </w:pPr>
    </w:p>
    <w:p>
      <w:pPr>
        <w:ind w:left="120" w:right="900" w:firstLine="547"/>
        <w:spacing w:after="0" w:line="246" w:lineRule="auto"/>
        <w:tabs>
          <w:tab w:leader="none" w:pos="8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us or our wholly owned subsidiaries, or any employee benefit plans of ours or our wholly owned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subsidiaries, files any report with the SEC indicating that such person or group has become the direct or indirect “beneficial owner” (as defined below) of shares of our common stock representing more than 50% of the voting power of all of our common stock</w:t>
      </w:r>
    </w:p>
    <w:p>
      <w:pPr>
        <w:spacing w:after="0" w:line="197" w:lineRule="exact"/>
        <w:rPr>
          <w:sz w:val="20"/>
          <w:szCs w:val="20"/>
          <w:color w:val="auto"/>
        </w:rPr>
      </w:pPr>
    </w:p>
    <w:p>
      <w:pPr>
        <w:ind w:left="120" w:right="20" w:firstLine="547"/>
        <w:spacing w:after="0" w:line="236" w:lineRule="auto"/>
        <w:tabs>
          <w:tab w:leader="none" w:pos="9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consummation of: (1) any sale, lease or other transfer, in one transaction or a series of transactions, of all or substantially all of the assets of us and our subsidiaries, taken as a whole, to any person, other than solely to one or more of our wholly owned subsidiaries; or (2) any transaction or series of related transactions in connection with which (whether by means of merger, consolidation, share exchange, combination, reclassification, recapitalization, acquisition, liquidation or otherwise) all of our common stock is exchanged for, converted into, acquired for, or constitutes solely the right to receive, other securities, cash or other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merger, consolidation, share exchange or combination of us pursuant to which the persons that directly or indirectly “beneficially owned” (as defined below) all classes of our common equity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clause (ii);</w:t>
      </w:r>
    </w:p>
    <w:p>
      <w:pPr>
        <w:spacing w:after="0" w:line="97" w:lineRule="exact"/>
        <w:rPr>
          <w:rFonts w:ascii="Arial" w:cs="Arial" w:eastAsia="Arial" w:hAnsi="Arial"/>
          <w:sz w:val="18"/>
          <w:szCs w:val="18"/>
          <w:color w:val="auto"/>
        </w:rPr>
      </w:pPr>
    </w:p>
    <w:p>
      <w:pPr>
        <w:ind w:left="960" w:hanging="29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stockholders approve any plan or proposal for our liquidation or dissolution; or</w:t>
      </w:r>
    </w:p>
    <w:p>
      <w:pPr>
        <w:spacing w:after="0" w:line="211" w:lineRule="exact"/>
        <w:rPr>
          <w:rFonts w:ascii="Arial" w:cs="Arial" w:eastAsia="Arial" w:hAnsi="Arial"/>
          <w:sz w:val="18"/>
          <w:szCs w:val="18"/>
          <w:color w:val="auto"/>
        </w:rPr>
      </w:pPr>
    </w:p>
    <w:p>
      <w:pPr>
        <w:ind w:left="120" w:right="320" w:firstLine="547"/>
        <w:spacing w:after="0" w:line="246" w:lineRule="auto"/>
        <w:tabs>
          <w:tab w:leader="none" w:pos="9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common stock (or other reference property unit underlying the notes) ceases to be listed on any of The New York Stock Exchange, The Nasdaq Global Market or The Nasdaq Global Select Market (or any of their respective successors);</w:t>
      </w:r>
    </w:p>
    <w:p>
      <w:pPr>
        <w:spacing w:after="0" w:line="179"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 clause (i) or (ii) above will not constitute a fundamental change if at least 90%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consideration received or to be received by the holders of our common stock (excluding cash payments for fractional shares or pursuant to dissenters rights), in connection with such transaction or event, consists of shares of common stock or other corporate common equity interests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the purposes of this definition, (x) any transaction or event described in both clause (i) and in clause (ii)(1) or (2) above (without regard to the proviso in clause (ii)) will be deemed to occur solely pursuant to clause (ii) above (subject to such proviso; and (y) whether a person is a “beneficial owner,” whether shares are “beneficially owned,” and percentage beneficial ownership, will be determined in accordance with Rule 13d-3 under the Exchange Act.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and “noteholder” mean a person in whose name a note is registered in the register for the notes.</w:t>
      </w:r>
    </w:p>
    <w:p>
      <w:pPr>
        <w:spacing w:after="0" w:line="21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“Last reported sale price” of our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our common stock on such trading day as reported in composite transactions for the principal U.S. national or regional securities exchange on which our common stock is then listed. If our common stock is not listed on a U.S. national or regional securities exchange on such trading day, then the last reported sale price will be the last quoted bid price per share of our common stock on such trading day in the over-the-counter market as reported by OTC Markets Group Inc. or a similar organization. If our common stock is not so quoted on such trading day, then the last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74" w:lineRule="auto"/>
        <w:rPr>
          <w:sz w:val="20"/>
          <w:szCs w:val="20"/>
          <w:color w:val="auto"/>
        </w:rPr>
      </w:pPr>
      <w:r>
        <w:rPr>
          <w:rFonts w:ascii="Arial" w:cs="Arial" w:eastAsia="Arial" w:hAnsi="Arial"/>
          <w:sz w:val="17"/>
          <w:szCs w:val="17"/>
          <w:color w:val="auto"/>
        </w:rPr>
        <w:t>reported sale price will be the average of the mid-point of the last bid price and the last ask price per share of our common stock on such trading day from a nationally recognized independent investment banking firm we select, which may include any of the underwriters.</w:t>
      </w:r>
    </w:p>
    <w:p>
      <w:pPr>
        <w:spacing w:after="0" w:line="17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“Make-whole fundamental change” means (i) a fundamental change (determined after giving effect to the proviso immediately after clause (iv) of the definition thereof, but without regard to the proviso to clause (ii)(2) of such definition); or (ii) the sending of any notice of redemption pursuant to the provisions described above under the caption “—Optional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sending of any such notice of redemption will constitute a make-whole fundamental change only with respect to the notes called (or deemed to be called pursuant to the provisions described above under the caption “—Optional Redemption”) for redemption pursuant to such notice and not with respect to any other notes.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“Make-whole fundamental change conversion period” has the following meaning:</w:t>
      </w:r>
    </w:p>
    <w:p>
      <w:pPr>
        <w:spacing w:after="0" w:line="104" w:lineRule="exact"/>
        <w:rPr>
          <w:sz w:val="20"/>
          <w:szCs w:val="20"/>
          <w:color w:val="auto"/>
        </w:rPr>
      </w:pPr>
    </w:p>
    <w:p>
      <w:pPr>
        <w:jc w:val="both"/>
        <w:ind w:left="120" w:right="100" w:firstLine="547"/>
        <w:spacing w:after="0" w:line="238" w:lineRule="auto"/>
        <w:tabs>
          <w:tab w:leader="none" w:pos="8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204" w:lineRule="exact"/>
        <w:rPr>
          <w:rFonts w:ascii="Arial" w:cs="Arial" w:eastAsia="Arial" w:hAnsi="Arial"/>
          <w:sz w:val="18"/>
          <w:szCs w:val="18"/>
          <w:color w:val="auto"/>
        </w:rPr>
      </w:pPr>
    </w:p>
    <w:p>
      <w:pPr>
        <w:ind w:left="120" w:right="120" w:firstLine="547"/>
        <w:spacing w:after="0"/>
        <w:tabs>
          <w:tab w:leader="none" w:pos="9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make-whole fundamental change pursuant to clause (ii) of the definition thereof, the period from, and including, the date we send the redemption notice for the related redemption to, and including, the business day immediately before the related redemption date;</w:t>
      </w:r>
    </w:p>
    <w:p>
      <w:pPr>
        <w:spacing w:after="0" w:line="18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conversion date for the conversion of a note that has been called (or deemed called) for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occurs during the make-whole fundamental change conversion period for both a make-whole fundamental change occurring pursuant to clause (i) of the definition of “make-whole fundamental change” and a make-whole fundamental change resulting from such redemption pursuant to clause (ii) of such definition, then,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“Make-whole fundamental change effective date” means (i) with respect to a make-whole fundamental change pursuant to clause</w:t>
      </w:r>
    </w:p>
    <w:p>
      <w:pPr>
        <w:ind w:left="120" w:right="20" w:hanging="4"/>
        <w:spacing w:after="0"/>
        <w:tabs>
          <w:tab w:leader="none" w:pos="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 the definition thereof, the date on which such make-whole fundamental change occurs or becomes effective; and (ii) with respect to a make-whole fundamental change pursuant to clause (ii) of the definition thereof, the applicable “redemption notice date” (as defined below).</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“Market disruption event” means, with respect to any date, the occurrence or existence, during the one-half hour period ending at the scheduled close of trading on such date on the principal U.S. national or regional securities exchange or other market on which our common stock is listed for trading or trades, of any material suspension or limitation imposed on trading (by reason of movements in price exceeding limits permitted by the relevant exchange or otherwise) in our common stock or in any options contracts or futures contracts relating to our common stock.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“Maturity date” means July 1, 2025.</w:t>
      </w:r>
    </w:p>
    <w:p>
      <w:pPr>
        <w:spacing w:after="0" w:line="21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“Observation period” means, with respect to any note to be converted, (i) subject to clause (ii) below, if the conversion date for such note occurs before April 1, 2025, the 20 consecutive VWAP</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trading days beginning on, and including, the third VWAP trading day immediately after such conversion date; (ii) if such conversion date occurs on or after the date we have sent a redemption notice calling such note for redemption and on or before the business day before the related redemption date, the 20 consecutive VWAP trading days beginning on, and including, the 21st scheduled trading day immediately before such redemption date; and (iii) subject to clause (ii) above, if such conversion date occurs on or after April 1, 2025, the 20 consecutive VWAP trading days beginning on, and including, the 21st scheduled trading day immediately before the maturity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“Open of business” means 9:00 a.m., New York City time.</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“Person”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w:t>
      </w:r>
    </w:p>
    <w:p>
      <w:pPr>
        <w:spacing w:after="0" w:line="20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“Redemption notice date” means, with respect to a redemption, the date on which we send the related redemption notice pursuant to the provisions described above under the caption “—Optional Redemption.”</w:t>
      </w:r>
    </w:p>
    <w:p>
      <w:pPr>
        <w:spacing w:after="0" w:line="197"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“Scheduled trading day” means any day that is scheduled to be a trading day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“scheduled trading day” means a business day.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12"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“Significant subsidiary” of any person means any subsidiary of that person that constitutes a “significant subsidiary” (as defined in Rule 1-02(w) of Regulation S-X under the Exchange Act) of that person.</w:t>
      </w:r>
    </w:p>
    <w:p>
      <w:pPr>
        <w:spacing w:after="0" w:line="197"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“Specified dollar amount”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“Stock price” has the following meaning for any make-whole fundamental change: (i) if the holders of our common stock receive only cash in consideration for their shares of common stock in such make-whole fundamental change and such make-whole fundamental change is pursuant to clause (ii) of the definition of “fundamental change,” then the stock price is the amount of cash paid per share of our common stock in such make-whole fundamental change; and (ii) in all other cases, the stock price is the average of the last reported sale prices per share of common stock for the five consecutive trading days ending on, and including, the trading day immediately before the make-whole fundamental change effective date of such make-whole fundamental change.</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“Subsidiary” means, with respect to any person, (i)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(ii) any partnership or limited liability company where (x) more than 50% of the capital accounts, distribution rights, equity and voting interests, or of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205"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“Trading day” means any day on which (i)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and (ii) there is no “market disruption event” (as defined above in this “—Definitions” section). If our common stock is not so listed or traded, then “trading day” means a business day.</w:t>
      </w:r>
    </w:p>
    <w:p>
      <w:pPr>
        <w:spacing w:after="0" w:line="18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 xml:space="preserve">“Trading price” of the notes on any trading day means the average of the secondary market bid quotations, expressed as a cash amount per $1,000 principal amount of notes, obtained by the bid solicitation agent for $1,000,000 (or such lesser amount as may then be outstanding) in principal amount of notes at approximately 3:30 p.m., New York City time, on such trading day from three nationally recognized independent securities dealers we select, which may include any of the underwriters;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(or such lesser amount as may then be outstanding) in principal amount of notes from a nationally recognized independent securities dealer; (ii) we are not acting as the bid solicitation agent and we fail to instruct the bid solicitation agent to obtain bids when required; or (iii) the bid solicitation agent fails to solicit bids when required, then, in each case, the trading price per $1,000 principal amount of notes on such trading day will be deemed to be less than 98% of the product of the last reported sale price per share of our common stock on such trading day and the conversion rate on such trading day.</w:t>
      </w:r>
    </w:p>
    <w:p>
      <w:pPr>
        <w:spacing w:after="0" w:line="20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“VWAP market disruption event” means, with respect to any date, (i) the failure by the principal U.S. national or regional securities exchange on which our common stock is then listed, or, if our common stock is not then listed on a U.S. national or regional securities exchange, the principal other market on which our common stock is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our common stock or in any options contracts or futures contracts relating to our common stock, and such suspension or limitation occurs or exists at any time before 1:00 p.m., New York City time, on such date.</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“VWAP trading day” means a day on which (i) there is no VWAP market disruption event; and (ii)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“VWAP trading day” means a business day.</w:t>
      </w:r>
    </w:p>
    <w:p>
      <w:pPr>
        <w:spacing w:after="0" w:line="20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“Wholly owned subsidiary”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Book Entry, Settlement and Clearance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notes will be initially issued in the form of one or more notes registered in the name of Cede &amp; Co., as nominee of DTC, without interest coupons (the “global notes”), and will be deposited with the trustee as custodian for DTC.</w:t>
      </w:r>
    </w:p>
    <w:p>
      <w:pPr>
        <w:spacing w:after="0" w:line="197"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Only persons who have accounts with DTC (“DTC participants”) or persons who hold interests through DTC participants may own beneficial interests in a global note. We expect that, under procedures established by DTC:</w:t>
      </w:r>
    </w:p>
    <w:p>
      <w:pPr>
        <w:spacing w:after="0" w:line="102" w:lineRule="exact"/>
        <w:rPr>
          <w:sz w:val="20"/>
          <w:szCs w:val="20"/>
          <w:color w:val="auto"/>
        </w:rPr>
      </w:pPr>
    </w:p>
    <w:p>
      <w:pPr>
        <w:ind w:left="880" w:right="440" w:hanging="224"/>
        <w:spacing w:after="0" w:line="24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102" w:lineRule="exact"/>
        <w:rPr>
          <w:rFonts w:ascii="Arial" w:cs="Arial" w:eastAsia="Arial" w:hAnsi="Arial"/>
          <w:sz w:val="18"/>
          <w:szCs w:val="18"/>
          <w:color w:val="auto"/>
        </w:rPr>
      </w:pPr>
    </w:p>
    <w:p>
      <w:pPr>
        <w:jc w:val="both"/>
        <w:ind w:left="880" w:right="20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transfers of such interests will be effected only through, records maintained by DTC (with respect to interests of DTC participants) and the records of DTC participants (with respect to other owners of beneficial interests in the global note).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All interests in a global note will be subject to the operations and procedures of DTC. Accordingly, you must allow for sufficient time in order to comply with those operations and procedures if you wish to exercise any of your rights with respect to the notes. The operations and procedures of DTC are controlled by DTC and may be changed at any time. None of us, the trustee or any of the underwriters (nor our or their agents) will be responsible for those operations or procedures.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1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book-entry system is also available to other “indirect participants,” such as banks, brokers, dealers and trust companies, who directly or indirectly clear through or maintain a custodial relationship with a DTC participant. Purchasers of notes who are not DTC participants may beneficially own securities held by or on behalf of DTC only through DTC participants or indirect participants in DTC.</w:t>
      </w:r>
    </w:p>
    <w:p>
      <w:pPr>
        <w:spacing w:after="0" w:line="195"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So long as DTC or its nominee is the registered owner of a global note, DTC or that nominee will be considered the sole owner or holder of the notes represented by that global note for all purposes under the indenture. Except as provided below, owners of beneficial interests in a global note:</w:t>
      </w:r>
    </w:p>
    <w:p>
      <w:pPr>
        <w:spacing w:after="0" w:line="108" w:lineRule="exact"/>
        <w:rPr>
          <w:sz w:val="20"/>
          <w:szCs w:val="20"/>
          <w:color w:val="auto"/>
        </w:rPr>
      </w:pPr>
    </w:p>
    <w:p>
      <w:pPr>
        <w:ind w:left="5440" w:right="3120" w:hanging="4784"/>
        <w:spacing w:after="0" w:line="418" w:lineRule="auto"/>
        <w:tabs>
          <w:tab w:leader="none" w:pos="8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 S-98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w:t>
      </w:r>
    </w:p>
    <w:p>
      <w:pPr>
        <w:spacing w:after="0" w:line="212"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As a result, each investor who owns a beneficial interest in a global note must rely on the procedures of DTC (and, if the investor is not a participant or an indirect participant in DTC, on the procedures of the DTC participant through whom the investor owns its interest) to exercise any rights of a noteholder under the indenture.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Payments on any global notes will be made to DTC’s nominee as the registered holder of the global note. Neither we nor the trustee nor the paying agent (nor our or their agents)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global note will be exchanged, pursuant to customary procedures, for one or more physical notes only if:</w:t>
      </w:r>
    </w:p>
    <w:p>
      <w:pPr>
        <w:spacing w:after="0" w:line="117"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DTC notifies us or the trustee that it is unwilling or unable to continue as depositary for such global note or DTC ceases to be a “clearing agency” registered under Section 17A of the Exchange Act and, in each case, we fail to appoint a successor depositary within 90 days of such notice or cessation;</w:t>
      </w:r>
    </w:p>
    <w:p>
      <w:pPr>
        <w:spacing w:after="0" w:line="108" w:lineRule="exact"/>
        <w:rPr>
          <w:rFonts w:ascii="Arial" w:cs="Arial" w:eastAsia="Arial" w:hAnsi="Arial"/>
          <w:sz w:val="18"/>
          <w:szCs w:val="18"/>
          <w:color w:val="auto"/>
        </w:rPr>
      </w:pPr>
    </w:p>
    <w:p>
      <w:pPr>
        <w:ind w:left="880" w:right="4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we, the trustee or the registrar has received a written request from DTC, or from a holder of a beneficial interest in such global note, to exchange such global note or beneficial interest, as applicable, for one or more physical notes; or</w:t>
      </w:r>
    </w:p>
    <w:p>
      <w:pPr>
        <w:spacing w:after="0" w:line="108"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in our sole discretion, permit the exchange of any beneficial interest in such global note for one or more physical notes at the request of the owner of such beneficial interest.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CONCURRENT TRANSACTIONS</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20" w:right="60" w:firstLine="551"/>
        <w:spacing w:after="0" w:line="251" w:lineRule="auto"/>
        <w:rPr>
          <w:sz w:val="20"/>
          <w:szCs w:val="20"/>
          <w:color w:val="auto"/>
        </w:rPr>
      </w:pPr>
      <w:r>
        <w:rPr>
          <w:rFonts w:ascii="Arial" w:cs="Arial" w:eastAsia="Arial" w:hAnsi="Arial"/>
          <w:sz w:val="17"/>
          <w:szCs w:val="17"/>
          <w:color w:val="auto"/>
        </w:rPr>
        <w:t>Concurrently with this convertible notes offering, (i) we are offering 74,100,000 shares of our common stock (or 85,215,000 shares if the underwriters exercise in full their option to purchase additional shares solely to cover over-allotments) pursuant to a separate prospectus supplement in an underwritten public offering, (ii) American has announced its intention to conduct a private offering of $1,500.0 million aggregate principal amount of its senior secured notes due 2025 guaranteed by AAG pursuant to a separate offering memorandum and (iii) American has announced its intention to borrow up to $500.0 million in aggregate principal amount of term loans under new senior secured credit facilities. The closing of this offering is not conditioned upon the closing of any of the Concurrent Transactions, and the closings of one or more of the Concurrent Transactions are not conditioned upon the closing of this offering. We cannot assure you that any of the Concurrent Transactions will be completed or, if completed, on what terms they will be completed. The Concurrent Common Stock Offering is being made pursuant to a separate prospectus supplement and the Concurrent Senior Secured Notes Offering is being made pursuant to a separate offering memorandum, and nothing contained herein shall constitute an offer to sell or the solicitation of an offer to buy securities in the Concurrent Common Stock Offering or the Concurrent Senior Secured Notes Offering.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Common Stock Offering</w:t>
      </w:r>
    </w:p>
    <w:p>
      <w:pPr>
        <w:spacing w:after="0" w:line="126"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We are offering 74,100,000 shares of our common stock in a public offering and have granted the underwriters in the offering an option to purchase, for a period of 30 days from the date of that certain prospectus supplement pertaining to the Concurrent Common Stock Offering, up to 11,115,000 shares of our common stock, solely to cover over-allotments. Our common stock is listed on the Nasdaq Global Select Market under the symbol “AAL.” On June 22, 2020, the last reported sale price of our common stock was $14.92 per share. Immediately following the Concurrent Common Stock Offering, we will have 496,994,501 shares of common stock outstanding (assuming the underwriters of the Concurrent Common Stock Offering do not exercise their option to purchase additional common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Senior Secured Notes Offering</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American has announced its intention to offer $1,500.0 million aggregate principal amount of senior secured notes due 2025. The obligations of American under the senior secured notes will be fully and unconditionally guaranteed by AAG. It is expected that interest under the senior secured notes will be paid semi-annually at a fixed rate, subject to an increase in rate if American does not satisfy, on a semi-annual basis, a certain minimum ratio of appraised value of first lien collateral to outstanding indebtedness secured by the first lien collateral.</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American may redeem the senior secured notes, in whole at any time or in part from time to time, at a redemption price equal to the greater of (1) 100% of the principal amount of the senior secured notes being redeemed and (2) a make whole amount, if any, plus in either case accrued and unpaid interest, if any, to (but not including) the redemption date, as set forth in that certain offering memorandum pertaining to the senior secured notes. In addition, American or a third-party will have the right to redeem certain senior secured notes in the circumstances.</w:t>
      </w:r>
    </w:p>
    <w:p>
      <w:pPr>
        <w:spacing w:after="0" w:line="202" w:lineRule="exact"/>
        <w:rPr>
          <w:sz w:val="20"/>
          <w:szCs w:val="20"/>
          <w:color w:val="auto"/>
        </w:rPr>
      </w:pPr>
    </w:p>
    <w:p>
      <w:pPr>
        <w:ind w:left="120" w:right="420" w:firstLine="551"/>
        <w:spacing w:after="0"/>
        <w:rPr>
          <w:sz w:val="20"/>
          <w:szCs w:val="20"/>
          <w:color w:val="auto"/>
        </w:rPr>
      </w:pPr>
      <w:r>
        <w:rPr>
          <w:rFonts w:ascii="Arial" w:cs="Arial" w:eastAsia="Arial" w:hAnsi="Arial"/>
          <w:sz w:val="18"/>
          <w:szCs w:val="18"/>
          <w:color w:val="auto"/>
        </w:rPr>
        <w:t>If certain change of control transactions occur, each holder of the senior secured notes may require us to repurchase its senior secured notes in whole or in part at a repurchase price of 101% of the aggregate principal amount thereof, plus accrued and unpaid interest, if any, to (but not including) the repurchase date.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Subject to certain exceptions and qualifications described in that certain offering memorandum pertaining to the senior secured notes, the senior secured notes will be issued under an indenture containing covenants that, among other things, will restrict the ability of American and the ability of its restricted subsidiaries to:</w:t>
      </w:r>
    </w:p>
    <w:p>
      <w:pPr>
        <w:spacing w:after="0" w:line="108" w:lineRule="exact"/>
        <w:rPr>
          <w:sz w:val="20"/>
          <w:szCs w:val="20"/>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 dividends, redeem or repurchase stock or make other distributions or restricted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repay subordinated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certain loans and investments;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indebtedness or issue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merge, consolidate or sell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undergo certain change of control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designate subsidiaries as unrestricted;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liens on the collateral securing the senior secured notes.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senior secured notes will be American’s senior secured obligations, secured on a first-lien basis by security interests in certain slots, route authorities and international airport gate leasehold rights (“SGR”) used by American to provide non-stop scheduled air carrier services between certain airports in the U.S. and certain airports in Australia, Canada, the Caribbean, Central America, China, Hong Kong, Japan, Mexico, South Korea, and Switzerland, and secured on a second-lien basis by security interests in certain SGR used by American to provide non-stop scheduled air carrier services between certain airports in the U.S. and certain airports in European Union and the United Kingdom. American has the ability to make future modifications to the collateral pledged, subject to certain restrictions. American may be required to pledge additional collateral in the future under the terms of the senior secured notes. The collateral (including any additional collateral) will also secure American’s obligations under the Concurrent Term Loan Financing. The guarantee of the senior secured notes will be AAG’s senior unsecured obligations. None of the obligations of AAG with respect to the senior secured notes will be secured by the collateral (all of which collateral is owned by American). The senior secured notes are expected to contain events of default customary for similar financings.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Term Loan Financing</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American has announced its intention to borrow up to $500.0 million in aggregate principal amount of term loans under new senior secured credit facilities. Borrowings under the term loans will be secured on a pari passu basis with the senior secured notes issued in the Concurrent Senior Secured Notes Offering by the same collateral. American’s obligations under the credit agreement for the term loans will be guaranteed by AAG on an unsecured basis.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the terms loans are expected to bear interest at a variable rate equal to LIBOR plus an applicable margin.</w:t>
      </w:r>
    </w:p>
    <w:p>
      <w:pPr>
        <w:spacing w:after="0" w:line="212"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The credit agreement for the term loans is expected to contain customary affirmative, negative and financial covenants. In particular, it is expected that the credit agreement will require American to satisfy, on a semi-annual basis, a certain minimum ratio of appraised value of first lien collateral to outstanding indebtedness secured by the first lien collateral. The credit agreement is also expected to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 The credit agreement is expected to contain events of default customary for similar financings, including cross-default to other material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indebtedness. Upon the occurrence of an event of default, the outstanding obligations under the credit agreement may be accelerated and become due and payable immediately. In addition, if a “change of control” occurs, American will (absent an amendment or waiver) be required to repay at par the loans outstanding.</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“Use of Proceeds” for additional information regarding the use of proceeds from the Concurrent Transactions.</w:t>
      </w:r>
    </w:p>
    <w:p>
      <w:pPr>
        <w:spacing w:after="0" w:line="14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OTHER INDEBTEDNESS</w:t>
      </w:r>
    </w:p>
    <w:p>
      <w:pPr>
        <w:spacing w:after="0" w:line="234"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following discussion provides summary information about certain of our existing indebtedness and does not purport to be a complete description of all the information that might be important to you. It does not reflect the effects of any additional liquidity we may seek in the private markets. See “Summary–Recent Developments” for further discussion of our current liquidity position and the related risks described in the “Risk Factors” section of this prospectus supplement with respect to our current liquidity position. For additional information regarding the terms of our existing indebtedness, see our periodic reports, including our Annual Report on Form 10-K for the year ended December 31, 2019 and our Quarterly Report on Form 10-Q for the quarter ended March 31, 2020, in particular the consolidated financial statements contained therein and the notes thereto, each as filed with the SEC and incorporated by reference into this prospectus supplement.</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Unsecured Notes</w:t>
      </w:r>
    </w:p>
    <w:p>
      <w:pPr>
        <w:spacing w:after="0" w:line="23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As of March 31, 2020, AAG had $1.25 billion in aggregate principal amount of unsecured notes outstanding, consisting of the notes set forth in the table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Interest Rate and Maturity Date</w:t>
            </w:r>
          </w:p>
        </w:tc>
        <w:tc>
          <w:tcPr>
            <w:tcW w:w="4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Principal</w:t>
            </w:r>
          </w:p>
        </w:tc>
      </w:tr>
      <w:tr>
        <w:trPr>
          <w:trHeight w:val="189"/>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5.000% senior notes due June 2022</w:t>
            </w:r>
          </w:p>
        </w:tc>
        <w:tc>
          <w:tcPr>
            <w:tcW w:w="3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750,000,000</w:t>
            </w:r>
          </w:p>
        </w:tc>
        <w:tc>
          <w:tcPr>
            <w:tcW w:w="80" w:type="dxa"/>
            <w:vAlign w:val="bottom"/>
            <w:tcBorders>
              <w:top w:val="single" w:sz="8" w:color="CCEEFF"/>
            </w:tcBorders>
            <w:shd w:val="clear" w:color="auto" w:fill="CCEEFF"/>
          </w:tcPr>
          <w:p>
            <w:pPr>
              <w:spacing w:after="0"/>
              <w:rPr>
                <w:sz w:val="16"/>
                <w:szCs w:val="16"/>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3.75% senior notes due March 2025</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500,000,000</w:t>
            </w:r>
          </w:p>
        </w:tc>
      </w:tr>
    </w:tbl>
    <w:p>
      <w:pPr>
        <w:spacing w:after="0" w:line="201" w:lineRule="exact"/>
        <w:rPr>
          <w:sz w:val="20"/>
          <w:szCs w:val="20"/>
          <w:color w:val="auto"/>
        </w:rPr>
      </w:pPr>
    </w:p>
    <w:p>
      <w:pPr>
        <w:jc w:val="both"/>
        <w:ind w:left="120" w:right="460" w:firstLine="551"/>
        <w:spacing w:after="0"/>
        <w:rPr>
          <w:sz w:val="20"/>
          <w:szCs w:val="20"/>
          <w:color w:val="auto"/>
        </w:rPr>
      </w:pPr>
      <w:r>
        <w:rPr>
          <w:rFonts w:ascii="Arial" w:cs="Arial" w:eastAsia="Arial" w:hAnsi="Arial"/>
          <w:sz w:val="18"/>
          <w:szCs w:val="18"/>
          <w:color w:val="auto"/>
        </w:rPr>
        <w:t>In May 2019, AAG issued $750.0 million in aggregate principal amount of 5.000% senior notes due 2022 (the “5.000% Senior Notes”). The 5.000% Senior Notes were issued under an indenture, dated as of May 20, 2019 (the “2019 Indenture”) among AAG, as issuer, American, as guarantor, and Wilmington Trust, National Association, as trustee.</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February 2020, AAG issued $500.0 million in aggregate principal amount of 3.75% senior notes due 2025 (the “3.75% Senior Notes” and, together with the 5.000% Senior Notes, the “Senior Notes”). The 3.75% Senior Notes were issued under an indenture, dated as of February 25, 2020 (the “2020 Indenture” and, together with the 2019 Indenture, the “Indentures”) among AAG, as issuer, American, as guarantor, and Wilmington Trust, National Association, as trustee.</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 xml:space="preserve">Each series of Senior Notes represents the senior unsecured obligations of AAG, and each related note guarantee represents the senior unsecured obligation of American. The Senior Notes and the respective note guarantees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AAG’s and American’s respective existing and future senior indebtedness and senior in right of payment to all of AAG’s and American’s respective future subordinated indebtedness. The Senior Notes and the respective note guarantees are effectively subordinated to all of AAG’s and American’s respective existing and future secured indebtedness to the extent of the value of the assets pledged to secure those obligations. The Senior Notes are also structurally subordinated to all existing and future indebtedness of AAG’s non-guarantor subsidiaries. Interest on the Senior Notes is payable semi-annually in arrears.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Indentures contains certain covenants that, among other things, restrict the ability of AAG and its restricted subsidiaries</w:t>
      </w:r>
    </w:p>
    <w:p>
      <w:pPr>
        <w:ind w:left="120"/>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 dividends, redeem or repurchase stock or make other distributions or restricted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repay subordinated indebtedness;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certain loans and investments;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incur indebtedness or issue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merge, consolidate or sell assets;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undergo certain change of control transactions;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designate subsidiaries as unrestricted.</w:t>
      </w:r>
    </w:p>
    <w:p>
      <w:pPr>
        <w:spacing w:after="0" w:line="212"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These covenants are, in each case, subject to a number of important and significant exceptions as specified in the relevant Indenture. Each Indenture also contains customary event of default provisions.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AAG may, at its option, redeem any series of Senior Notes, in whole at any time or in part from time to time, at a redemption price equal to the greater of (1) 100% of the principal amount of the Senior Notes being redeemed and (2) a make-whole amount, if any, plus in either case accrued and unpaid interest, if any, to (but not including) the redemption date. Additionally, if certain change of control transactions occur, we may be required under the terms of the Indentures to repurchase the Senior Notes, in whole or in part, in each case at a repurchase price of 101% of the aggregate principal amount thereof, plus accrued and unpaid interest, if any, to (but not including) the repurchase date.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Payroll Support Program Promissory Note</w:t>
      </w:r>
    </w:p>
    <w:p>
      <w:pPr>
        <w:spacing w:after="0" w:line="234" w:lineRule="exact"/>
        <w:rPr>
          <w:sz w:val="20"/>
          <w:szCs w:val="20"/>
          <w:color w:val="auto"/>
        </w:rPr>
      </w:pPr>
    </w:p>
    <w:p>
      <w:pPr>
        <w:ind w:left="120" w:right="480" w:firstLine="551"/>
        <w:spacing w:after="0" w:line="238"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a wholly-owned subsidiary of AAG, entered into a Payroll Support Program Agreement (the “PSP Agreement”) with the Treasury, with respect to the payroll financial assistance program (the “Payroll Support Program”) provided pursuant to the CARES Act.</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As compensation to the United States Government for the provision of financial assistance under the PSP Agreement, AAG issued a promissory note to Treasury (the “Promissory Note”), with the Subsidiaries as guarantors (the “Guarantors”).The Promissory Note provides for AAG’s unconditional promise to pay to Treasury the initial principal sum of approximately $842.2 million, subject to an increase equal to 30% of the amount of each additional installment disbursed under the PSP Agreement after the PSP Closing Date, and the guarantee of AAG’s obligations by the Guarantors. As of June 1, 2020, the outstanding principal amount of the Promissory Note was $1,191 million, and assuming the total installments to be paid pursuant to the PSP Agreement aggregate approximately $5,815 million, as is expected, the Promissory Note will have a total principal sum of approximately $1,714 million.</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Promissory Note bears interest on the outstanding principal amount at a rate equal to 1.00% per annum until the fifth anniversary of the PSP Closing Date and 2.00% plus an interest rate based on the secured overnight financing rate per annum or other benchmark replacement rate consistent with customary market conventions (but not to be less than 0.00%) thereafter until the tenth anniversary of the PSP Closing Date (the “Maturity Date”), and interest accrued thereon will be payable in arrears on the last business day of March and September of each year, beginning on September 30, 2020. The aggregate principal amount outstanding under the Promissory Note, together with all accrued and unpaid interest thereon and all other amounts payable under the Promissory Note, will be due and payable on the Maturity Date.</w:t>
      </w:r>
    </w:p>
    <w:p>
      <w:pPr>
        <w:spacing w:after="0" w:line="203"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AAG may, at any time and from time to time, voluntarily prepay amounts outstanding under the Promissory Note, in whole or in part, without penalty or premium. Within 30 days of the occurrence of certain change of control triggering events, AAG is required to prepay the aggregate outstanding principal amount of the Promissory Note at such time, together with any accrued interest or other amounts owing under the Promissory Note at such time.</w:t>
      </w:r>
    </w:p>
    <w:p>
      <w:pPr>
        <w:spacing w:after="0" w:line="205"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The Promissory Note is AAG’s senior unsecured obligation and each guarantee of the Promissory Note is the senior unsecured obligation of each of the Guarantors, respectively.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Promissory Note contains events of default, including cross-default with respect to acceleration or failure to pay at maturity other material indebtedness. Upon the occurrence of an event of default and subject to certain grace periods, the outstanding obligations under the Promissory Note may, and in certain circumstances will automatically, be accelerated and become due and payable immediately.</w:t>
      </w:r>
    </w:p>
    <w:p>
      <w:pPr>
        <w:spacing w:after="0" w:line="205"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See “Summary—Recent Developments—Cares Act” for more information regarding the approximately $4.75 billion secured loan that we have applied for and are in the process of obtaining under the CARES Act.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Secured Financing Arrangements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 Through Certificates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regularly finance or refinance aircraft and, in certain cases, spare engines with the sale of enhanced equipment trust certificates (“EETCs”) issued by pass-through trusts that we form. In a typical EETC financing, American forms a new pass through trust and issues to the trust equipment notes that are secured, or will be secured, by specified aircraft or spare engines. The trust in turn sells pass through certificates to the public, using the proceeds to acquire the equipment notes from American. Each certificate represents a fractional undivided interest in the assets of the relevant trust, primarily the equipment notes. Payments on the equipment notes held in each trust are passed through to the certificate holders of such trust. Principal payments on the equipment notes are paid biannually. The equipment notes are senior secured obligations of American; the certificates do not represent interests in, or obligations of, American, AAG, or any of their respective affiliates.</w:t>
      </w:r>
    </w:p>
    <w:p>
      <w:pPr>
        <w:spacing w:after="0" w:line="208" w:lineRule="exact"/>
        <w:rPr>
          <w:sz w:val="20"/>
          <w:szCs w:val="20"/>
          <w:color w:val="auto"/>
        </w:rPr>
      </w:pPr>
    </w:p>
    <w:p>
      <w:pPr>
        <w:jc w:val="both"/>
        <w:ind w:left="120" w:right="120" w:firstLine="551"/>
        <w:spacing w:after="0" w:line="246" w:lineRule="auto"/>
        <w:rPr>
          <w:sz w:val="20"/>
          <w:szCs w:val="20"/>
          <w:color w:val="auto"/>
        </w:rPr>
      </w:pPr>
      <w:r>
        <w:rPr>
          <w:rFonts w:ascii="Arial" w:cs="Arial" w:eastAsia="Arial" w:hAnsi="Arial"/>
          <w:sz w:val="18"/>
          <w:szCs w:val="18"/>
          <w:color w:val="auto"/>
        </w:rPr>
        <w:t>As of March 31, 2020, the outstanding principal balance of American’s EETC issuances was $11.7 billion, bearing interest at rates ranging from 3.00% to 8.39%, averaging 4.03%, and maturing from 2020 to 2032.</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Equipment Loans and Other Notes Payable</w:t>
      </w:r>
    </w:p>
    <w:p>
      <w:pPr>
        <w:spacing w:after="0" w:line="126"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Other secured financings include debt collateralized by certain aircraft (not including aircraft securing EETC financings) and other flight equipment. As of March 31, 2020, we had outstanding $4.8 billion in aggregate of these financings, bearing interest at rates ranging from 1.87% to 7.31%, with maturities from 2020 to 2032.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Facilities Revenue Bonds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American is required to make principal and interest payments in respect of certain special facility revenue bonds issued by municipalities primarily to build or improve airport facilities and purchase equipment, which in each case are leased to American. The payment of principal and interest of certain special facility revenue bonds is guaranteed by AAG. As of March 31, 2020, the aggregate principal amount of AAG’s obligations under such special facilities revenue bonds was $754.0 million, bearing interest at rates from 5.00% to 8.00% and maturing from 2020 to 2031.</w:t>
      </w:r>
    </w:p>
    <w:p>
      <w:pPr>
        <w:spacing w:after="0" w:line="202" w:lineRule="exact"/>
        <w:rPr>
          <w:sz w:val="20"/>
          <w:szCs w:val="20"/>
          <w:color w:val="auto"/>
        </w:rPr>
      </w:pPr>
    </w:p>
    <w:p>
      <w:pPr>
        <w:jc w:val="both"/>
        <w:ind w:left="120" w:right="360" w:firstLine="551"/>
        <w:spacing w:after="0"/>
        <w:rPr>
          <w:sz w:val="20"/>
          <w:szCs w:val="20"/>
          <w:color w:val="auto"/>
        </w:rPr>
      </w:pPr>
      <w:r>
        <w:rPr>
          <w:rFonts w:ascii="Arial" w:cs="Arial" w:eastAsia="Arial" w:hAnsi="Arial"/>
          <w:sz w:val="18"/>
          <w:szCs w:val="18"/>
          <w:color w:val="auto"/>
        </w:rPr>
        <w:t>We issued on June 22, 2020 approximately $360 million aggregate principal amount of New York Transportation Development Corporation Special Facility Revenue Bonds to finance, among other things, an approximately $350 million renovation of Terminal 8 at John F. Kennedy International Airport (the “JFK Offering”).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Credit Facilities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Credit Facilities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May 21, 2015, American and AAG entered into the Amended and Restated Credit and Guaranty Agreement (as amended, the “2013 Credit Agreement”) among American, AAG, the lenders from time to time party thereto, Deutsche Bank AG New York Branch, as administrative agent and certain other parties thereto. The 2013 Credit Agreement provides for (i) a revolving credit facility (the “2013 Revolving Facility”) with total aggregate revolving credit commitments of $750.0 million, a substantial portion of which matures on October 11, 2024 and (ii) a term loan facility (the “2013 Term Loan Facility” and, together with the 2013 Revolving Facility, the “2013 Credit Facilities”) in an aggregate principal amount of $1.8 billion which matures on June 27, 2025 and amortizes at 1.0% per annum. Borrowings under the 2013 Credit Facilities are secured by a first-priority lien on certain slots, route authorities and airport gate leasehold rights (“SGR”) used by American to operate all services between the U.S. and South America. American has the ability to make future modifications to the collateral pledged, subject to certain restrictions. American’s obligations under the 2013 Credit Facilities are guaranteed by AAG.</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2013 Revolving Facility is subject to an undrawn annual fee of 0.625%, and borrowings thereunder bear interest at a variable rate equal to LIBOR plus a margin of 2.00%. Under certain customary circumstances, including the permanent unavailability of LIBOR, the administrative agent under the 2013 Credit Agreement, the Borrower and the required lenders may replace LIBOR with another benchmark rate, as set forth more fully in the 2013 Credit Facilities. The 2013 Revolving Facility provides that American may from time to time borrow, repay and reborrow loans thereunder, and provides for the ability to issue letters of credit thereunder in an aggregate amount outstanding at any time up to $100.0 million. On April 1, 2020, American borrowed $750.0 million under the 2013 Revolving Facility. Following the April 1, 2020 draw, American had no additional borrowing capacity available under the 2013 Revolving Facility.</w:t>
      </w:r>
    </w:p>
    <w:p>
      <w:pPr>
        <w:spacing w:after="0" w:line="203"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Borrowings under the 2013 Term Loan Facility bear interest at a variable rate equal to LIBOR plus a margin of 1.75%. As of March 31, 2020, borrowings of $1.8 billion were outstanding under the 2013 Term Loan Facility.</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2013 Credit Facilities contain affirmative, negative and financial covenants. In particular, American is required under the terms of 2013 Credit Facilities to maintain a minimum ratio of appraised collateral value to outstanding loans of 1.6 to 1.0.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2013 Credit Facilities contain events of default customary for similar financings, including cross-default to other material indebtedness. Upon the occurrence of an event of default, the outstanding obligations under the 2013 Credit Facilities may be accelerated and become due and payable immediately. In addition, if a “change of control” occurs, American will (absent an amendment or waiver) be required to repay at par the loans outstanding under the 2013 Credit Facilities and terminate the 2013 Revolving Facility.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Credit Facilities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April 20, 2015, American and AAG entered into the Amended and Restated Credit and Guaranty Agreement (as amended, the “2014 Credit Agreement”) among American, AAG, the lenders from time to time party thereto, Citibank N.A., as administrative agent and certain other parties thereto. The 2014 Credit Agreement provides for (i) a revolving credit facility (the “2014 Revolving Facility”) with total aggregate revolving credit commitments of $1.6 billion, a substantial portion of which matures on October 11, 2024 and (ii) a term loan facility (the “2014 Term Loan Facility” and, together with the 2014 Revolving Facility, the “2014 Credit Facilities”) in an aggregate principal amount of $ 1.3 billion which matures on January 29, 2027 and amortizes at 1.0% per annum. Borrowings under the 2014 Credit Facilities are secured by a first-priority lien on certain SGR used by American to operate certain services between the U.S. and European Union (including London Heathrow). American has the ability to make future modifications to the collateral pledged, subject to certain restrictions. American’s obligations under the 2014 Credit Facilities are guaranteed by AAG.</w:t>
      </w:r>
    </w:p>
    <w:p>
      <w:pPr>
        <w:spacing w:after="0" w:line="20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2014 Revolving Facility is subject to an undrawn annual fee of 0.625%, and borrowings thereunder bear interest at a variable rate equal to LIBOR plus a margin of 2.00%. Under certain customary circumstances, including the permanent unavailability of LIBOR, the administrative agent under the 2014 Credit Agreement, the Borrower and the required lenders may replace LIBOR with another benchmark rate, as set forth more fully in the 2014 Credit Facilities. The 2014 Revolving Facility provides that American may from time to time borrow, repay and reborrow loans thereunder, and provides for the ability to issue letters of credit thereunder in an aggregate amount outstanding at any time up to $200.0 million. On April 1, 2020, American borrowed $1.5 billion under the 2014 Revolving Facility and on May 7, 2020, American had borrowed $110.0 million under the 2014 Revolving Facility. Following the May 7, 2020 draw, American had no additional borrowing capacity available under the 2014 Revolving Facility.</w:t>
      </w:r>
    </w:p>
    <w:p>
      <w:pPr>
        <w:spacing w:after="0" w:line="208"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Borrowings under the 2014 Term Loan Facility bear interest at a variable rate equal to LIBOR plus a margin of 2.00%. As of March 31, 2020, borrowings of $1.2 billion were outstanding under the 2014 Term Loan Facility.</w:t>
      </w:r>
    </w:p>
    <w:p>
      <w:pPr>
        <w:spacing w:after="0" w:line="19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2014 Credit Facilities contain affirmative, negative and financial covenants. In particular, American is required under the terms of 2014 Credit Facilities to maintain a minimum ratio of appraised collateral value to outstanding loans of 1.6 to 1.0.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2014 Credit Facilities contain events of default customary for similar financings, including cross-default to other material indebtedness. Upon the occurrence of an event of default, the outstanding obligations under the 2014 Credit Facilities may be accelerated and become due and payable immediately. In addition, if a “change of control” occurs, American will (absent an amendment or waiver) be required to repay at par the loans outstanding under the 2014 Credit Facilities and terminate the 2014 Revolving Facility.</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connection with the Concurrent Senior Secured Notes Offering, the collateral trustee will enter into an intercreditor agreement with the collateral agent under the 2014 Credit Facilities, providing for the senior secured notes offered in the Concurrent Senior Secured Notes Offering and the Concurrent Term Loan Financing to be secured by a second-lien on the assets that secure the 2014 Credit Facilities on a first-lien basis.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April 2016 Credit Facilities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On April 29, 2016, American and AAG entered into the Amended and Restated Credit and Guaranty Agreement (as amended, the “April 2016 Credit Agreement”) among American, AAG, the lenders from time to time party thereto, Barclays Bank PLC, as administrative agent and certain other parties thereto. The April 2016 Credit Agreement provides for (i) a revolving credit facility (the “April 2016 Revolving Facility”) with total aggregate revolving credit commitments of $450.0 million, a substantial portion of which matures on October 11, 2024 and (ii) a term loan facility (the “April 2016 Term Loan Facility” and, together with the April 2016 Revolving Facility, the “April 2016 Credit Facilities”) in an aggregate principal amount of $1.0 billion which matures on April 28, 2023 and amortizes at 1.0% per annum. Borrowings under the April 2016 Credit Facilities are secured by a first-priority lien on American’s aircraft spare parts. American has the ability to make future modifications to the collateral pledged, subject to certain restrictions. American’s obligations under the April 2016 Credit Facilities are guaranteed by AAG.</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April 2016 Revolving Facility is subject to an undrawn annual fee of 0.625%, and borrowings thereunder bear interest at a variable rate equal to LIBOR plus a margin of 2.00%. Under certain customary circumstances, including the permanent unavailability of LIBOR, the administrative agent under the April 2016 Credit Agreement, the Borrower and the required lenders may replace LIBOR with another benchmark rate, as set forth more fully in the April 2016 Credit Facilities. The April 2016 Revolving Facility provides that American may from time to time borrow, repay and reborrow loans thereunder. On April 1, 2020, American borrowed $450.0 million under the April 2016 Revolving Facility. Following the April 1, 2020 draw, American had no additional borrowing capacity available under the April 2016 Revolving Facility.</w:t>
      </w:r>
    </w:p>
    <w:p>
      <w:pPr>
        <w:spacing w:after="0" w:line="203"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Borrowings under the April 2016 Term Loan Facility bear interest at a variable rate equal to LIBOR plus a margin of 2.00%. As of March 31, 2020, borrowings of $970 million were outstanding under the April 2016 Term Loan Facility.</w:t>
      </w:r>
    </w:p>
    <w:p>
      <w:pPr>
        <w:spacing w:after="0" w:line="197"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The April 2016 Credit Facilities contain affirmative, negative and financial covenants. In particular, American is required under the terms of April 2016 Credit Facilities to maintain a minimum ratio of appraised collateral value to outstanding loans of 1.6 to 1.0. The April 2016 Credit Facilities also include covenants that, among other things, require AAG to maintain a minimum aggregate liquidity (as defined in the April 2016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9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April 2016 Credit Facilities contain events of default customary for similar financings, including cross-default to other material indebtedness. Upon the occurrence of an event of default, the outstanding obligations under the April 2016 Credit Facilities may be accelerated and become due and payable immediately. In addition, if a “change of control” occurs, American will (absent an amendment or waiver) be required to repay at par the loans outstanding under the April 2016 Credit Facilities and terminate the April 2016 Revolving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December 2016 Credit Facilities</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On December 15, 2016, American and AAG entered into the Amended and Restated Credit and Guaranty Agreement (as amended, the “December 2016 Credit Agreement”) among American, AAG, the lenders from time to time party thereto, Citibank N.A., as administrative agent and certain other parties thereto. The December 2016 Credit Agreement provides for a term loan facility (the “December 2016 Term Loan Facility”) in an aggregate principal amount of $1.3 billion which matures on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S-108</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December 14, 2023 and amortizes at 1.0% per annum. The December 2016 Credit Agreement also provides for a revolving credit facility that may be established thereunder in the future. Borrowings under the December 2016 Term Loan Facility are secured by a first-priority lien on certain slots at each of Ronald Reagan Washington National Airport (DCA) and La Guardia Airport (LGA), certain simulators and certain leasehold rights. American has the ability to make future modifications to the collateral pledged, subject to certain restrictions. American’s obligations under the December 2016 Credit Facilities are guaranteed by AAG.</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Borrowings under the December 2016 Term Loan Facility bear interest at a variable rate equal to LIBOR plus a margin of 2.00%. Under certain customary circumstances, including the permanent unavailability of LIBOR, the administrative agent under the December 2016 Credit Agreement, the Borrower and the required lenders may replace LIBOR with another benchmark rate, as set forth more fully in the December 2016 Term Loan Facility. As of March 31, 2020, borrowings of $1.2 billion were outstanding under the December 2016 Term Loan Facility.</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December 2016 Term Loan Facility contains affirmative, negative and financial covenants. In particular, American is required under the terms of December 2016 Term Loan Facility to maintain a minimum ratio of appraised collateral value to outstanding loans of 1.6 to 1.0. The December 2016 Term Loan Facility also includes covenants that, among other things, require AAG to maintain a minimum aggregate liquidity (as defined in the December 2016 Term Loan Facility)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December 2016 Credit Agreement contains events of default customary for similar financings, including cross-default to other material indebtedness. Upon the occurrence of an event of default, the outstanding obligations under the December 2016 Term Loan Facility and any revolving credit facility established under the December 2016 Credit Agreement may be accelerated and become due and payable immediately. In addition, if a “change of control” occurs, American will (absent an amendment or waiver) be required to repay at par the loans outstanding under the December 2016 Credit Agreement and terminate any revolving credit facility established under the December 2016 Credit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Delayed Draw Term Loan Facility</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On March 18, 2020, American and AAG entered into a Credit and Guaranty Agreement (the “Delayed Draw Term Loan Credit Agreement”), among American, as borrower, AAG, as parent and guarantor, the lenders party thereto and Citibank N.A., as administrative agent and collateral agent. The Delayed Draw Term Loan Credit Agreement provides for a 364-day, $1.0 billion senior secured delayed draw term loan credit facility (the “Delayed Draw Term Loan Facility”). Term loans under the Delayed Draw Term Loan Facility will be due and payable in a single installment on the maturity date on March 17, 2021. On March 25, 2020, American borrowed the full $1.0 billion in term loans available under the Delayed Draw Term Loan Facility.</w:t>
      </w:r>
    </w:p>
    <w:p>
      <w:pPr>
        <w:spacing w:after="0" w:line="205"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Voluntary prepayments at par of term loans under the Delayed Draw Term Loan Facility may be made by American at any time. Mandatory prepayments at par of term loans under the Delayed Draw Term Loan Facility may be required to the extent necessary to comply with American’s covenants regarding collateral coverage and certain dispositions of collateral. In addition, if certain change of control transactions occur with respect to AAG, American will be required to repay at par the term loans outstanding under the Delayed Draw Term Loan Facility.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Borrowings of term loans under the Delayed Draw Term Loan Facility bear interest at an index rate plus an applicable index margin or, at American’s option, LIBOR (subject to a floor of 1.00%) plus an applicable LIBOR margin for interest periods of one, three or six months (or, if available to all affected lenders, 12 months or a shorter period). For term loans under the Delayed Draw Term Loan Facility based on an index rate, the applicable margin will be 1.00% for such term loans made up to 180 days after the Closing Date and will increase to 1.75% thereafter. For term loans under the Delayed Draw Term Loan Facility based on LIBOR, the applicable margin will be 2.00% for such term loans made up to 180 days after the Closing Date and will increase to 2.75% thereafter.</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Subject to certain limitations and exceptions, the Delayed Draw Term Loan Facility is secured by collateral, including certain SGR utilized by American in providing its scheduled air carrier services to and from Mexico and Central America and to London and certain cities in the European Union. The lien on Mexico and Central America SGR is a first-priority lien and the lien on London and European SGR is a second-priority lien. American has the ability to make future modifications to the collateral pledged, subject to certain restrictions. American’s obligations under the Delayed Draw Term Loan Credit Facility are guaranteed by AAG. American is required to maintain a certain minimum ratio of appraised value of collateral to the outstanding term loans.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Delayed Draw Term Loan Credit Agreement also includes affirmative, negative and financial covenants that, among other things, limit the ability of AAG and its restricted subsidiaries to pay dividends and make certain other payments, make certain investments, incur liens on or dispose of the collateral, enter into certain affiliate transactions and engage in certain business activities, in each case subject to certain exceptions. In addition, under the Delayed Draw Term Loan Credit Agreement, AAG must maintain a minimum aggregate liquidity of $2.0 billion.</w:t>
      </w:r>
    </w:p>
    <w:p>
      <w:pPr>
        <w:spacing w:after="0" w:line="2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Delayed Draw Term Loan Credit Agreement contains events of default customary for similar financings, including cross-default to other material indebtedness. Upon the occurrence of an event of default, the outstanding obligations under the Delayed Draw Term Loan Credit Agreement may be accelerated and become due and payable immediately.</w:t>
      </w:r>
    </w:p>
    <w:p>
      <w:pPr>
        <w:spacing w:after="0" w:line="203"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If the Concurrent Senior Secured Notes Offering and/or Concurrent Term Loan Financing are consummated, the Delayed Draw Term Loan Credit Agreement will be repaid in full and terminated.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S-110</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following is a summary of certain U.S. federal income tax considerations of the purchase, ownership and disposition and conversion of notes and the shares of our common stock into which the notes may be converted, but does not purport to be a complete analysis of all potential tax effects. The effects of other U.S. federal tax laws, such as estate and gift tax laws, and any applicable state, local or non-U.S. tax laws are not discussed. This summary is based upon provisions of the Internal Revenue Code of 1986, as amended, or the Code, applicable Treasury regulations promulgated thereunder, judicial decisions, and published rulings and administrative pronouncements of the Internal Revenue Service, or the IRS, in each case in effect as of the date hereof. These authorities may change or be subject to differing interpretations. Any such change or differing interpretation may be applied retroactively in a manner that could adversely affect a holder of the notes or the shares of our common stock into which the notes may be converted.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notes and the shares of our common stock into which the notes may be converted.</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Except where noted, this summary addresses only a note or common stock held as a “capital asset” within the meaning of Section 1221 of the Code (generally, property held for investment) by a beneficial owner who purchased the note on original issuance for cash at its “issue price” (i.e., the first price at which a substantial portion of the notes is sold for cash to persons other than bond houses, brokers, or similar persons or organizations acting in the capacity of underwriters, placement agents or wholesalers). This summary does not address all aspects of U.S. federal income taxes relevant to holders of a note or common stock (including the potential application of the Medicare contribution tax), nor does it address all tax consequences that may be relevant to such holders in light of their personal circumstances or particular situations, such as:</w:t>
      </w:r>
    </w:p>
    <w:p>
      <w:pPr>
        <w:spacing w:after="0" w:line="108" w:lineRule="exact"/>
        <w:rPr>
          <w:sz w:val="20"/>
          <w:szCs w:val="20"/>
          <w:color w:val="auto"/>
        </w:rPr>
      </w:pPr>
    </w:p>
    <w:p>
      <w:pPr>
        <w:ind w:left="880" w:right="200" w:hanging="224"/>
        <w:spacing w:after="0" w:line="238"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consequences to holders who may be subject to special tax treatment, including dealers in securities or currencies, banks, financial institutions, regulated investment companies, real estate investment trusts, tax-exempt entities, “controlled foreign corporations,” “passive foreign investment companies,” insurance companies or traders in securities that elect to use a mark-to-market method of tax accounting for their securities;</w:t>
      </w:r>
    </w:p>
    <w:p>
      <w:pPr>
        <w:spacing w:after="0" w:line="110"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consequences to persons holding notes or our common stock as a part of a hedging, integrated or conversion transaction or a straddle, or persons deemed to sell notes or our common stock under the constructive sale provisions of the Code;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consequences to U.S. holders (as defined below) whose “functional currency” is not the U.S. dollar;</w:t>
      </w:r>
    </w:p>
    <w:p>
      <w:pPr>
        <w:spacing w:after="0" w:line="117" w:lineRule="exact"/>
        <w:rPr>
          <w:rFonts w:ascii="Arial" w:cs="Arial" w:eastAsia="Arial" w:hAnsi="Arial"/>
          <w:sz w:val="18"/>
          <w:szCs w:val="18"/>
          <w:color w:val="auto"/>
        </w:rPr>
      </w:pPr>
    </w:p>
    <w:p>
      <w:pPr>
        <w:ind w:left="880" w:right="46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consequences to investors that hold notes or our common stock through partnerships or other entities or arrangements treated as partnerships for U.S. federal income tax purposes, or through S Corporations or other pass-through entities or arrangements;</w:t>
      </w:r>
    </w:p>
    <w:p>
      <w:pPr>
        <w:spacing w:after="0" w:line="108"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consequences to persons subject to special tax accounting rules as a result of any item of gross income with respect to the notes or our common stock being taken into account in an applicable financial statement;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alternative minimum tax consequences.</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an entity or arrangement treated as a partnership for U.S. federal income tax purposes holds notes or our common stock, the tax treatment of a partner in the partnership will depend on the status of the partner, the activities of the partnership and certain determinations made at the partner level. Accordingly, partnerships holding notes or our common stock and the partners in such partnerships should consult their tax advisors.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S-111</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firstLine="551"/>
        <w:spacing w:after="0" w:line="261" w:lineRule="auto"/>
        <w:rPr>
          <w:sz w:val="20"/>
          <w:szCs w:val="20"/>
          <w:color w:val="auto"/>
        </w:rPr>
      </w:pPr>
      <w:r>
        <w:rPr>
          <w:rFonts w:ascii="Arial" w:cs="Arial" w:eastAsia="Arial" w:hAnsi="Arial"/>
          <w:sz w:val="17"/>
          <w:szCs w:val="17"/>
          <w:b w:val="1"/>
          <w:bCs w:val="1"/>
          <w:color w:val="auto"/>
        </w:rPr>
        <w:t>THIS DISCUSSION IS FOR INFORMATIONAL PURPOSES ONLY AND IS NOT TAX ADVICE. YOU SHOULD CONSULT YOUR TAX ADVISOR WITH RESPECT TO THE APPLICATION OF THE U.S. FEDERAL INCOME TAX LAWS TO YOUR PARTICULAR SITUATION AS WELL AS ANY TAX CONSEQUENCES OF THE PURCHASE, OWNERSHIP AND DISPOSITION OF NOTES AND COMMON STOCK ARISING UNDER OTHER U.S. FEDERAL TAX LAWS (INCLUDING ESTATE AND GIFT TAX LAWS), UNDER THE LAWS OF ANY STATE, LOCAL OR NON-U.S. TAXING JURISDICTION OR UNDER ANY APPLICABLE TAX TREATY.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a “U.S. holder” is a beneficial owner of a note or common stock received upon conversion of a note that is, for U.S.</w:t>
      </w:r>
    </w:p>
    <w:p>
      <w:pPr>
        <w:ind w:left="120"/>
        <w:spacing w:after="0"/>
        <w:rPr>
          <w:sz w:val="20"/>
          <w:szCs w:val="20"/>
          <w:color w:val="auto"/>
        </w:rPr>
      </w:pPr>
      <w:r>
        <w:rPr>
          <w:rFonts w:ascii="Arial" w:cs="Arial" w:eastAsia="Arial" w:hAnsi="Arial"/>
          <w:sz w:val="18"/>
          <w:szCs w:val="18"/>
          <w:color w:val="auto"/>
        </w:rPr>
        <w:t>federal income tax purposes:</w:t>
      </w:r>
    </w:p>
    <w:p>
      <w:pPr>
        <w:spacing w:after="0" w:line="117"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right="10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Treasury regulations to be treated as a U.S. person.</w:t>
      </w:r>
    </w:p>
    <w:p>
      <w:pPr>
        <w:spacing w:after="0" w:line="203"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A “non-U.S. holder” is a beneficial owner of a note or common stock received upon conversion of a note that is an individual, corporation (or any other entity treated as a corporation for U.S. federal income tax purposes), estate or trust that is not a U.S. holder. Special rules may apply to certain non-U.S. holders such as corporations that accumulate earnings to avoid U.S. federal income tax or, in certain circumstances, individuals who are U.S. expatriates. Consequently, non-U.S. holders should consult their tax advisors to determine the U.S. federal, state, local, non-U.S. and other tax consequences that may be relevant to them in light of their particular circumstances.</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Consequences to U.S. Holders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It is anticipated, and this discussion assumes, that the notes will not be issued with original issue discount for U.S. federal income tax purposes. In such case, stated interest on a note generally will be taxable to a U.S. holder as ordinary income at the time it is received or accrues in accordance with the U.S. holder’s usual method of accounting for tax purposes.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certain circumstances, we may be obligated to make payments on the notes in excess of stated principal and interest. See “Description of Notes—Events of Default—Special Interest as Sole Remedy for Certain Reporting Defaults.” According to the applicable Treasury regulations, certain contingencies will not cause a debt instrument to be treated as a contingent payment debt instrument if such contingencies, as of the date of issuance, are “remote or incidental” or certain other circumstances apply. We intend to take the position that these contingencies should not cause the notes to be treated as contingent payment debt instruments under the applicable Treasury regulations. Assuming such position is respected by the IRS, a U.S. holder would be required to include in income the amount of any such additional payments at the time such payments are received or accrued in accordance with such U.S. holder’s method of accounting for U.S. federal income tax purposes. Our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position is binding on a U.S. holder, unless the holder discloses in the proper manner to the IRS that it is taking a different position. If the IRS successfully challenged our position, and the notes were treated as contingent payment debt instruments, a U.S. holder would be required to accrue interest income at a rate higher than the stated interest, regardless of the U.S. holder’s method of accounting, and to treat as ordinary income, rather than capital gain, any gain recognized on a sale, exchange, retirement or redemption of a note (including all gain realized upon conversion, even if the U.S. holder receives shares of our common stock). This discussion assumes that the notes will not be considered contingent payment debt instruments. U.S. holders are urged to consult their tax advisors regarding the potential application to the notes of the contingent payment debt instrument rules and the consequences thereof.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Notes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Except as provided below under “—Conversion of Notes,” a U.S. holder generally will recognize gain or loss upon the sale, exchange, redemption or other taxable disposition of a note (including an exchange with a designated financial institution in lieu of conversion, as described in “Description of Notes—Exchange in Lieu of Conversion”) equal to the difference between the amount realized (less accrued but unpaid interest which will be treated as described above under “—Interest on the Notes”) and such U.S. holder’s adjusted tax basis in the note. The amount realized by a U.S. holder will include the amount of any cash and the fair market value of any other property received for the note. A U.S. holder’s adjusted tax basis in a note generally will be equal to the amount that the U.S. holder paid for the note plus the amount, if any, included in income by the U.S. holder on an adjustment to the conversion rate of the note, as described under “—Constructive Distributions” below.</w:t>
      </w:r>
    </w:p>
    <w:p>
      <w:pPr>
        <w:spacing w:after="0" w:line="208"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Any gain or loss recognized on a taxable disposition of a note generally will be capital gain or loss. If, at the time of the sale, exchange, redemption or other taxable disposition of a note, a U.S. holder held the note for more than one year, such gain or loss generally will be long-term capital gain or loss. Otherwise, such gain or loss will be short-term capital gain or loss. In the case of certain non-corporate U.S. holders (including individuals) long-term capital gains are generally eligible for a reduced rate of U.S. federal income tax. A U.S. holder’s ability to deduct capital losses may be limited.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Notes</w:t>
      </w:r>
    </w:p>
    <w:p>
      <w:pPr>
        <w:spacing w:after="0" w:line="12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If a U.S. holder presents a note for conversion, a U.S. holder may receive solely cash, solely our common stock, or a combination of cash and our common stock in exchange for the note, depending upon our chosen settlement method.</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U.S. holder receives solely cash in exchange for a note upon conversion, the U.S. holder’s gain or loss will be determined in the same manner as if the U.S. holder disposed of the notes in a taxable disposition (as described above under “—Sale, Exchange, Redemption or Other Taxable Disposition of Notes”).</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If a U.S. holder receives solely our common stock in exchange for notes upon conversion (excluding an exchange with a designated financial institution in lieu of conversion, as described in “Description of Notes—Exchange in Lieu of Conversion,” which would be taxable as described above, under “—Sale, Exchange, Redemption or Other Taxable Disposition of Notes,” and in which case the holder would have a tax basis in the shares of our common stock equal to their fair market value at the time of the conversion, and a holding period beginning the day after the date of receipt), the U.S. holder generally will not recognize gain or loss upon the conversion of the notes into our common stock except to the extent of (i) cash received in lieu of a fractional share and (ii) amounts received with respect to accrued but unpaid interest (which will be treated as described above under “—Interest on the Notes”).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551"/>
        <w:spacing w:after="0" w:line="236" w:lineRule="auto"/>
        <w:rPr>
          <w:sz w:val="20"/>
          <w:szCs w:val="20"/>
          <w:color w:val="auto"/>
        </w:rPr>
      </w:pPr>
      <w:r>
        <w:rPr>
          <w:rFonts w:ascii="Arial" w:cs="Arial" w:eastAsia="Arial" w:hAnsi="Arial"/>
          <w:sz w:val="18"/>
          <w:szCs w:val="18"/>
          <w:color w:val="auto"/>
        </w:rPr>
        <w:t>The amount of gain or loss a U.S. holder will recognize on the receipt of cash in lieu of a fractional share will be equal to the difference between the amount of cash the U.S. holder receives in respect of the fractional share and the portion of the U.S. holder’s adjusted tax basis in the note that is allocable to the fractional share. Any such gain or loss generally will be capital gain or loss and generally will be long-term capital gain or loss, if at the time of the conversion, the note has been held for more than one year. The tax basis of shares of our common stock received upon a conversion (other than shares attributable to accrued but unpaid interest, the tax basis of which will equal their fair market value) will equal the adjusted tax basis of the note that was converted (excluding the portion of the adjusted tax basis that is allocable to any fractional share). A U.S. holder’s adjusted tax basis in a note generally will be equal to the amount that the U.S. holder paid for the note plus the amount, if any, included in income by the U.S. holder on an adjustment to the conversion rate of the note, as described in “—Constructive Distributions” below. The U.S. holder’s holding period for the shares of our common stock will include the period during which the U.S. holder held the notes, except that the holding period of any shares received with respect to accrued but unpaid interest will commence on the day after the date of receipt.</w:t>
      </w:r>
    </w:p>
    <w:p>
      <w:pPr>
        <w:spacing w:after="0" w:line="205" w:lineRule="exact"/>
        <w:rPr>
          <w:sz w:val="20"/>
          <w:szCs w:val="20"/>
          <w:color w:val="auto"/>
        </w:rPr>
      </w:pPr>
    </w:p>
    <w:p>
      <w:pPr>
        <w:ind w:left="120" w:right="660" w:firstLine="551"/>
        <w:spacing w:after="0" w:line="274" w:lineRule="auto"/>
        <w:rPr>
          <w:sz w:val="20"/>
          <w:szCs w:val="20"/>
          <w:color w:val="auto"/>
        </w:rPr>
      </w:pPr>
      <w:r>
        <w:rPr>
          <w:rFonts w:ascii="Arial" w:cs="Arial" w:eastAsia="Arial" w:hAnsi="Arial"/>
          <w:sz w:val="17"/>
          <w:szCs w:val="17"/>
          <w:color w:val="auto"/>
        </w:rPr>
        <w:t>As described below, the tax treatment of a conversion of a note into cash and our common stock is uncertain and subject to different characterizations, and U.S. holders should consult their tax advisors regarding the consequences of such a conversion.</w:t>
      </w:r>
    </w:p>
    <w:p>
      <w:pPr>
        <w:spacing w:after="0" w:line="157"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i w:val="1"/>
          <w:iCs w:val="1"/>
          <w:color w:val="auto"/>
        </w:rPr>
        <w:t>Treatment as a Recapitalization</w:t>
      </w:r>
      <w:r>
        <w:rPr>
          <w:rFonts w:ascii="Arial" w:cs="Arial" w:eastAsia="Arial" w:hAnsi="Arial"/>
          <w:sz w:val="17"/>
          <w:szCs w:val="17"/>
          <w:color w:val="auto"/>
        </w:rPr>
        <w:t>. If a combination of cash and our common stock is received by a U.S. holder upon conversion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note (excluding an exchange with a designated financial institution in lieu of conversion, as described in “Description of Notes—Exchange in Lieu of Conversion,” which would be taxable as described above, under “—Sale, Exchange, Redemption or Other Taxable Disposition of Notes”), we intend to take the position that the notes are securities for U.S. federal income tax purposes and to treat the conversion should be treated as a recapitalization. In such case, gain, but not loss, would be recognized by the U.S. holder equal to the excess of the fair market value of our common stock and cash received (other than amounts attributable to accrued but unpaid interest, which will be treated as described above under “—Interest on the Notes”) over the U.S. holder’s adjusted tax basis in the note, but in no event would the gain recognized exceed the amount of cash received (excluding any cash received in lieu of a fractional share or attributable to accrued but unpaid interest). The amount of gain or loss recognized on the receipt of cash in lieu of a fractional share would be equal to the difference between the amount of cash received and the portion of the U.S. holder’s tax basis in our common stock received that is allocable to the fractional share, as described in the following paragraph. Any gain or loss recognized by a U.S. holder on conversion of a note generally would be capital gain or loss and generally would be long-term capital gain or loss if, at the time of the conversion, the note has been held for more than one year. The tax basis of our common stock received upon such a conversion (including any fractional share deemed to be received by the U.S. holder, but excluding any common stock attributable to accrued but unpaid interest, the tax basis of which would equal its fair market value) would equal the adjusted tax basis of the note that was converted, reduced by the amount of any cash received (excluding cash received in lieu of a fractional share or attributable to accrued but unpaid interest), and increased by the amount of gain, if any, recognized (other than gain recognized on any cash received with respect to a fractional share). A U.S. holder’s holding period for our common stock would include the period during which the U.S. holder held the note, except that the holding period of any common stock received with respect to accrued but unpaid interest would commence on the day after our common stock is received.</w:t>
      </w:r>
    </w:p>
    <w:p>
      <w:pPr>
        <w:spacing w:after="0" w:line="179"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i w:val="1"/>
          <w:iCs w:val="1"/>
          <w:color w:val="auto"/>
        </w:rPr>
        <w:t>Alternative Treatment as Part Conversion and Part Redemption</w:t>
      </w:r>
      <w:r>
        <w:rPr>
          <w:rFonts w:ascii="Arial" w:cs="Arial" w:eastAsia="Arial" w:hAnsi="Arial"/>
          <w:sz w:val="18"/>
          <w:szCs w:val="18"/>
          <w:color w:val="auto"/>
        </w:rPr>
        <w:t>. If the conversion of a note into cash and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 exchange with a designated financial institution in lieu of conversion, as described in “Description of Notes—Exchange in Lieu of Conversion,” which would be taxable as described above under “—Sale, Exchange, Redemption or Other Taxable Disposition of Notes”) were not treated as a recapitalization as discussed above, the cash payment received may be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S-114</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treated as proceeds from the redemption of a portion of the note and taxed in the manner described above under “—Sale, Exchange, Redemption or Other Taxable Disposition of Notes,” in which case our common stock received on such a conversion would be treated as received upon a conversion of the other portion of the note, which generally would not be taxable to a U.S. holder except to the extent of any common stock received with respect to accrued but unpaid interest. In that case, the U.S. holder’s adjusted tax basis in the note would generally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our common stock received and the portion of the note that is treated as sold for cash based on the fair market value of our common stock and the cash received. The holding period for our common stock received in the conversion would include the holding period for the note, except that the holding period of any common stock received with respect to accrued but unpaid interest would commence on the day after our common stock is received.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08"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 xml:space="preserve">Distributions, if any, made on our common stock,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our common stock, generally will be included in the income of a U.S. holder of our common stock as ordinary dividend income to the extent of our current or accumulated earnings and profits. Distributions in excess of our current and accumulated earnings and profits will be treated as a tax-free return of capital to the extent of a U.S. holder’s tax basis in our common stock and thereafter as capital gain from the sale or exchange of such common stock. Dividends received by a corporate U.S. holder may be eligible for a dividends received deduction, subject to applicable limitations. Dividends received by certain non-corporate U.S. holders (including individuals) are generally taxed at the lower applicable long-term capital gains rates, provided certain holding period and other requirements are satisfied.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Constructive Distributions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conversion rate of the notes will be adjusted in certain circumstances. Adjustments (or failures to make adjustments) that have the effect of increasing a U.S. holder’s proportionate interest in our assets or earnings and profits may, in some circumstances, result in a deemed distribution to the U.S. holder for U.S. federal income tax purposes even though no cash or property is received. Adjustments to the conversion rate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the dilution of the interest of the holders of the notes, however, will generally not result in a deemed distribution to a U.S. holder.</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Certain of the conversion rate adjustments provided in the notes (including, without limitation, adjustments in respect of taxable dividends to holders of our common stock)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If such adjustments are made, a U.S. holder of notes will be deemed to have received a distribution even though the U.S. holder has not received any cash or property as a result of such conversion rate adjustment. In addition, an adjustment to the conversion rate in connection with a make-whole fundamental change may, in some circumstances, be treated as a deemed distribution. Any deemed distribution will be taxable as a dividend, return of capital or capital gain as described above under “—Distributions.”</w:t>
      </w:r>
    </w:p>
    <w:p>
      <w:pPr>
        <w:spacing w:after="0" w:line="205" w:lineRule="exact"/>
        <w:rPr>
          <w:sz w:val="20"/>
          <w:szCs w:val="20"/>
          <w:color w:val="auto"/>
        </w:rPr>
      </w:pPr>
    </w:p>
    <w:p>
      <w:pPr>
        <w:jc w:val="both"/>
        <w:ind w:left="120" w:right="80" w:firstLine="551"/>
        <w:spacing w:after="0" w:line="238" w:lineRule="auto"/>
        <w:rPr>
          <w:sz w:val="20"/>
          <w:szCs w:val="20"/>
          <w:color w:val="auto"/>
        </w:rPr>
      </w:pPr>
      <w:r>
        <w:rPr>
          <w:rFonts w:ascii="Arial" w:cs="Arial" w:eastAsia="Arial" w:hAnsi="Arial"/>
          <w:sz w:val="18"/>
          <w:szCs w:val="18"/>
          <w:color w:val="auto"/>
        </w:rPr>
        <w:t>However, it is unclear whether a constructive dividend deemed paid to a non-corporate U.S. holder would be eligible for the lower applicable long-term capital gains rates as described above under “—Distributions.” It is also unclear whether corporate holders would be entitled to claim the dividends received deduction with respect to any such constructive dividends. Generally, a U.S. holder’s adjusted tax basis in a note will be increased to the extent any such constructive distribution is treated as a dividend. U.S. holders should consult their tax advisors on the impact a constructive distribution may have on their holding period in the notes.</w:t>
      </w:r>
    </w:p>
    <w:p>
      <w:pPr>
        <w:spacing w:after="0" w:line="202"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We are currently required to report the amount of any deemed distributions on our website or to the IRS and holders of notes not exempt from information reporting. The IRS has issued proposed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S-115</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regulations addressing the amount and timing of deemed distributions, as well as obligations of withholding agents and filing and notice obligations of issuers in respect of such deemed distributions. If adopted as proposed, the regulations would generally provide that (i) the amount of a deemed distribution is the excess of the fair market value of the right to acquire stock immediately after the conversion rate adjustment over the fair market value of the right to acquire stock without the adjustment, (ii) the deemed distribution occurs at the earlier of the date the adjustment occurs under the terms of the note and the date of the actual distribution of cash or property that results in the deemed distribution, (iii) subject to certain limited exceptions, a withholding agent is required to impose any applicable withholding on deemed distributions and, if there is no associated cash payment, may set off its withholding obligations against payments on the notes (or, in some circumstances, any payments on our common stock) or sales proceeds received by or other funds or assets of an investor and (iv) we are required to report the amount of any deemed distributions on our website or to the IRS and all holders of notes (including holders of notes that would otherwise be exempt from information reporting). The final regulations will be effective for deemed distributions occurring on or after the date of adoption, but holders of notes and withholding agents may rely on them prior to that date under certain circumstances.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Certain Redemptions or Other Taxable Dispositions of Common Stock</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Upon sales, certain redemptions or other taxable dispositions of our common stock, a U.S. holder generally will recognize gain or loss equal to the difference between the amount realized and the U.S. holder’s tax basis in our common stock. Any gain or loss recognized on a taxable disposition of common stock generally will be capital gain or loss. Such capital gain or loss will be long-term capital gain or loss if a U.S. holder’s holding period at the time of the sale, redemption or other taxable disposition of our common stock is more than one year. Long-term capital gains recognized by certain non-corporate U.S. holders (including individuals) are generally eligible for a reduced rate of U.S. federal income tax. The deductibility of capital losses is subject to limitations.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Possible Effect of a Change in Conversion Consideration After a Change in Control</w:t>
      </w:r>
    </w:p>
    <w:p>
      <w:pPr>
        <w:spacing w:after="0" w:line="126"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 certain situations, the notes may become convertible or exchangeable into shares of an acquirer. Depending on the circumstances, such an event could result in a deemed taxable exchange of the notes to a U.S. holder and the modified notes could be treated as newly issued at that time, potentially resulting in the recognition of taxable gain or loss. Furthermore, depending on the circumstances, the U.S. federal income tax consequences of the exchange or conversion of the notes as well as the ownership of the notes and the shares of our common stock may be different from the U.S. federal income tax consequences addressed in this discussion.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Consequences to Non-U.S. Holders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26"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30% U.S. federal withholding tax will not be applied to any payment of interest on a note to a non-U.S. holder that is not effectively connected with the non-U.S. holder’s conduct of a trade or business within the United States, provided that:</w:t>
      </w:r>
    </w:p>
    <w:p>
      <w:pPr>
        <w:spacing w:after="0" w:line="102" w:lineRule="exact"/>
        <w:rPr>
          <w:sz w:val="20"/>
          <w:szCs w:val="20"/>
          <w:color w:val="auto"/>
        </w:rPr>
      </w:pPr>
    </w:p>
    <w:p>
      <w:pPr>
        <w:ind w:left="880" w:right="4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(pursuant to the conversion feature or otherwise) 10% or more of the total combined voting power of all classes of our stock that are entitled to vote;</w:t>
      </w:r>
    </w:p>
    <w:p>
      <w:pPr>
        <w:spacing w:after="0" w:line="102" w:lineRule="exact"/>
        <w:rPr>
          <w:rFonts w:ascii="Arial" w:cs="Arial" w:eastAsia="Arial" w:hAnsi="Arial"/>
          <w:sz w:val="18"/>
          <w:szCs w:val="18"/>
          <w:color w:val="auto"/>
        </w:rPr>
      </w:pPr>
    </w:p>
    <w:p>
      <w:pPr>
        <w:ind w:left="880" w:right="84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stock ownership; and</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(a) provides its name and address, and certifies, under penalties of perjury, that it is not a U.S. person (which certification may be made on an IRS Form W-8BEN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spacing w:after="0" w:line="246" w:lineRule="auto"/>
        <w:rPr>
          <w:sz w:val="20"/>
          <w:szCs w:val="20"/>
          <w:color w:val="auto"/>
        </w:rPr>
      </w:pPr>
      <w:r>
        <w:rPr>
          <w:rFonts w:ascii="Arial" w:cs="Arial" w:eastAsia="Arial" w:hAnsi="Arial"/>
          <w:sz w:val="18"/>
          <w:szCs w:val="18"/>
          <w:color w:val="auto"/>
        </w:rPr>
        <w:t>W-8BEN-E (or other applicable form)) or (b) holds the notes through certain foreign intermediaries and the non-U.S. holder and the foreign intermediaries satisfy the certification requirements of applicable Treasury regulations.</w:t>
      </w:r>
    </w:p>
    <w:p>
      <w:pPr>
        <w:spacing w:after="0" w:line="197" w:lineRule="exact"/>
        <w:rPr>
          <w:sz w:val="20"/>
          <w:szCs w:val="20"/>
          <w:color w:val="auto"/>
        </w:rPr>
      </w:pPr>
    </w:p>
    <w:p>
      <w:pPr>
        <w:jc w:val="both"/>
        <w:ind w:left="120" w:right="180" w:firstLine="551"/>
        <w:spacing w:after="0" w:line="248" w:lineRule="auto"/>
        <w:rPr>
          <w:sz w:val="20"/>
          <w:szCs w:val="20"/>
          <w:color w:val="auto"/>
        </w:rPr>
      </w:pPr>
      <w:r>
        <w:rPr>
          <w:rFonts w:ascii="Arial" w:cs="Arial" w:eastAsia="Arial" w:hAnsi="Arial"/>
          <w:sz w:val="17"/>
          <w:szCs w:val="17"/>
          <w:color w:val="auto"/>
        </w:rPr>
        <w:t>If a non-U.S. holder cannot satisfy the requirements described above, payments of interest will be subject to the 30% U.S. federal withholding tax, unless the non-U.S. holder provides the applicable withholding agent with a properly executed (i) IRS Form W-8BEN or W-8BEN-E (or other applicable form) claiming an exemption from or reduction in withholding under an applicable income tax treaty or</w:t>
      </w:r>
    </w:p>
    <w:p>
      <w:pPr>
        <w:spacing w:after="0" w:line="2" w:lineRule="exact"/>
        <w:rPr>
          <w:sz w:val="20"/>
          <w:szCs w:val="20"/>
          <w:color w:val="auto"/>
        </w:rPr>
      </w:pPr>
    </w:p>
    <w:p>
      <w:pPr>
        <w:ind w:left="120" w:hanging="4"/>
        <w:spacing w:after="0" w:line="236" w:lineRule="auto"/>
        <w:tabs>
          <w:tab w:leader="none" w:pos="3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IRS Form W-8ECI (or other applicable form) stating that interest paid on the notes is not subject to withholding tax because it is effectively connected with the non-U.S. holder’s conduct of a trade or business in the United States. If a non-U.S. holder is engaged in a trade or business in the United States and interest on a note is effectively connected with the conduct of that trade or business and, if required by an applicable income tax treaty, is attributable to a U.S. permanent establishment or fixed base, then (although the non-U.S. holder will be exempt from the 30% withholding tax (or lesser rate under an applicable income tax treaty) provided the certification requirements discussed above are satisfied) the non-U.S. holder will be subject to U.S. federal income tax on that interest on a net income basis generally in the same manner as if the non-U.S. holder were a U.S. holder. In addition, if the non-U.S. holder is a foreign corporation, it may be subject to a branch profits tax equal to 30% (or lesser rate under an applicable income tax treaty) of its earnings and profits for the taxable year, subject to adjustments, that are effectively connected with its conduct of a trade or business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Constructive Distributions</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Any amount treated as a dividend (as discussed above under “Consequences to U.S. Holders—Distributions”) paid to a non-U.S. holder with respect to common stock (and any deemed dividends resulting from certain adjustments, or failures to make adjustments, to the conversion rate of the notes, as described above under “Consequences to U.S. Holders—Constructive Distributions”) will be subject to U.S. withholding tax at a 30% rate or such lower rate as may be specified by an applicable income tax treaty. However, dividends that are effectively connected with the conduct of a trade or business in the United States and, if required by an applicable income tax treaty, are attributable to a U.S. permanent establishment or fixed base, are not subject to the withholding tax, but instead are subject to U.S. federal income tax on a net income basis at applicable graduated individual or corporate tax rates. Certain certification and disclosure requirements must be complied with in order for effectively connected income to be exempt from withholding. Any such effectively connected income received by a foreign corporation may, under certain circumstances, be subject to a branch profits tax at a 30% rate or such lower rate as may be specified by an applicable income tax treaty. Any applicable withholding taxes (including backup withholding) with respect to deemed dividends may be withheld from interest and payments upon conversion, repurchase or maturity of the notes or if any withholding taxes (including backup withholding) are paid on behalf of a non-U.S. holder, those withholding taxes may be withheld from or set off against payments of cash or common stock, if any, payable on the notes (or, in some circumstances, any payments on our common stock) or sales proceeds received by or other funds or assets of such non-U.S. holder.</w:t>
      </w:r>
    </w:p>
    <w:p>
      <w:pPr>
        <w:spacing w:after="0" w:line="21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 non-U.S. holder who wishes to claim the benefit of an applicable income tax treaty rate is required to satisfy applicable certification and other requirements. If a non-U.S. holder is eligible for an exemption from or a reduced rate of U.S. federal withholding tax pursuant to an income tax treaty, it may obtain a refund of any excess amounts withheld by timely filing an appropriate claim for refund with the IRS.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S-117</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Certain Redemptions, Conversion or Other Taxable Dispositions of Notes or Common Stock</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Subject to the discussion below under “Information Reporting and Backup Withholding—Non- U.S. Holders” and “Information Reporting and Backup Withholding—Foreign Account Tax Compliance,” any gain recognized by a non-U.S. holder on the sale, exchange (including an exchange with a designated financial institution in lieu of conversion, as described in “Description of Notes—Exchange in Lieu of Conversion”), certain redemptions, conversion or other taxable dispositions of a note or common stock will not be subject to U.S. federal income tax unless:</w:t>
      </w:r>
    </w:p>
    <w:p>
      <w:pPr>
        <w:spacing w:after="0" w:line="108" w:lineRule="exact"/>
        <w:rPr>
          <w:sz w:val="20"/>
          <w:szCs w:val="20"/>
          <w:color w:val="auto"/>
        </w:rPr>
      </w:pPr>
    </w:p>
    <w:p>
      <w:pPr>
        <w:ind w:left="880" w:right="14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gain is effectively connected with the non-U.S. holder’s conduct of a trade or business in the United States (and, if required by an applicable income tax treaty, is attributable to a U.S. permanent establishment);</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02" w:lineRule="exact"/>
        <w:rPr>
          <w:rFonts w:ascii="Arial" w:cs="Arial" w:eastAsia="Arial" w:hAnsi="Arial"/>
          <w:sz w:val="18"/>
          <w:szCs w:val="18"/>
          <w:color w:val="auto"/>
        </w:rPr>
      </w:pPr>
    </w:p>
    <w:p>
      <w:pPr>
        <w:ind w:left="880" w:right="2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or USRPHC, for U.S. federal income tax purposes during the shorter of the non-U.S. holder’s holding period or the five-year period ending on the date of disposition of the note or common stock, as the case may be, and certain other conditions are met.</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you are a non-U.S. holder and you realize gain described in the first bullet point above, you will be subject to tax at regular graduated U.S. federal income tax rates on the net gain derived from the sale, exchange, redemption, conversion or other taxable disposition of a note or our common stock, generally in the same manner as if you were a U.S. holder, and, if you are a foreign corporation, you additionally may be subject to a branch profits tax equal to 30% of your effectively connected earnings and profits, or at such lower rate as may be specified by an applicable income tax treaty. If you are described in the second bullet point above, you will be subject to a flat 30% tax (or lower applicable income tax treaty rate) on the gain recognized on the sale, exchange, redemption, conversion or other taxable disposition of a note or our common stock (which gain may be offset by certain U.S.-source capital losses), even though you are not considered a resident of the United States. We believe we are not, and we do not anticipate becoming, a USRPHC for U.S. federal income tax purposes.</w:t>
      </w:r>
    </w:p>
    <w:p>
      <w:pPr>
        <w:spacing w:after="0" w:line="207"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Any amounts (including our common stock) that a non-U.S. holder receives on a sale, exchange, redemption, conversion or other taxable disposition of a note that are attributable to accrued but unpaid interest will be treated as interest and may be subject to U.S. federal income tax in accordance with the rules described above under “—Interest on the Notes.”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Information reporting requirements generally will apply to payments of interest and deemed dividends on the notes (if any), dividends on our common stock and the proceeds of a sale of a note or our common stock paid to a U.S. holder unless the U.S. holder is an exempt recipient, and if requested, certifies as to that status. Backup withholding generally will apply to those payments if the U.S. holder fails to provide an appropriate certification with its correct taxpayer identification number or certification of exempt status. 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26"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Generally, the amount of interest and deemed dividends on the notes (if any) and any distributions on our common stock to non-U.S. holders regardless of whether such distributions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constitute dividends or whether any tax was actually withheld, and the amount of tax, if any, withheld with respect to those payments must be reported annually to the IRS and to the non-U.S. holders. Copies of the information returns reporting such interest, deemed dividends, dividends and withholding may also be made available to the tax authorities in a country in which the non-U.S. holder resides under the provisions of an applicable income tax treaty. In general, a non-U.S. holder will not be subject to backup withholding with respect to payments of interest or deemed dividends on a note or dividends on our common stock, provided the statement described above in the last bullet point under “Consequences to Non-U.S. Holders—Interest on the Notes” has been received or the non-U.S. holder otherwise establishes an exemption. In addition, a non-U.S. holder will be subject to information reporting and, depending on the circumstances, backup withholding with respect to payments of the proceeds of the sale of a note or our common stock conducted within the United States or through certain U.S.-related financial intermediaries, unless the statement described above has been received, or the non-U.S. holder otherwise establishes an exemption. Backup withholding is not an additional tax, Any amounts withheld under the backup withholding rules will be allowed as a refund or a credit against a non-U.S. holder’s U.S. federal income tax liability, if any, provided the required information is timely furnished to the IRS.</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Sections 1471 through 1474 of the Code (commonly referred to as “FATCA”) generally impose a withholding tax at a rate of 30% on interest and dividends (including deemed dividends) paid on, and (subject to the proposed U.S. Treasury Regulations discussed below) the gross proceeds of a disposition of, debt obligations or stock in a United States corporation paid to (i) a foreign financial institution, or FFI, whether as a beneficial owner or intermediary,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or qualifies for an exemption from these rules, and (ii) a foreign entity that is not a financial institution (whether as a beneficial owner or intermediary for another foreign entity that is not a financial institution) unless such entity provides the withholding agent or U.S. tax authorities with a certification identifying the substantial U.S. owners of the entity, which generally include any U.S. person who directly or indirectly owns more than 10% of the entity, or qualifies for an exemption from these rules. A person that receives payments through one or more FFIs may receive reduced payments as a result of FATCA withholding taxes if (i) any such FFI does not enter into such an agreement with the U.S. government and does not otherwise establish an exemption, or (ii) such person is (a) a “recalcitrant account holder” or (b) itself an FFI that fails to enter into such an agreement or establish an exemption. Foreign financial institutions located in jurisdictions that have an intergovernmental agreement with the United States governing FATCA may be subject to different rules.</w:t>
      </w:r>
    </w:p>
    <w:p>
      <w:pPr>
        <w:spacing w:after="0" w:line="20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applicable Treasury regulations and administrative guidance provide that the FATCA withholding rules will apply to payments of interest and dividends (including deemed dividends) regardless of when they are made (or deemed made). While withholding under FATCA would have applied also to payments of gross proceeds from the sale or other disposition of notes or stock, proposed U.S. Treasury regulations eliminate FATCA withholding on payments of gross proceeds entirely. Taxpayers generally may rely on these proposed U.S. Treasury regulations until final U.S. Treasury regulations are issued. No such final U.S. Treasury regulations have been issued as of the date of this prospectus supplement. Investors are encouraged to consult their tax advisors regarding the implications of these rules on their investment in our notes and our common stock.</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AAG, American and the representatives (as defined herein) on behalf of the underwriters named below have entered into an underwriting agreement with respect to the notes being offered. Subject to certain conditions, each underwriter has severally agreed to purchase the principal amount of notes indicated in the following table. Goldman Sachs &amp; Co. LLC, Citigroup Global Markets Inc., BofA Securities, Inc. and J.P. Morgan Securities LLC are the representatives of the underwriters (the “representatives”).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Underwriters</w:t>
            </w:r>
          </w:p>
        </w:tc>
        <w:tc>
          <w:tcPr>
            <w:tcW w:w="5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Arial" w:cs="Arial" w:eastAsia="Arial" w:hAnsi="Arial"/>
                <w:sz w:val="14"/>
                <w:szCs w:val="14"/>
                <w:color w:val="auto"/>
              </w:rPr>
              <w:t>Principal Amount of Notes</w:t>
            </w:r>
          </w:p>
        </w:tc>
      </w:tr>
      <w:tr>
        <w:trPr>
          <w:trHeight w:val="189"/>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3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127,437,000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127,436,000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127,436,000</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127,436,000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59,512,000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67,146,000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42,705,000</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ICBC Standard Bank Plc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96,398,000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42,705,000</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42,705,000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BNP Paribas Securities Corp.</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21,352,000</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Credit Agricole Securities (USA) Inc.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21,352,000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Standard Chartered Bank</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48,199,000</w:t>
            </w: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HSBC Securities (USA) Inc.</w:t>
            </w: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21,352,000</w:t>
            </w:r>
          </w:p>
        </w:tc>
      </w:tr>
      <w:tr>
        <w:trPr>
          <w:trHeight w:val="203"/>
        </w:trPr>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MUFG Securities Americas Inc.</w:t>
            </w:r>
          </w:p>
        </w:tc>
        <w:tc>
          <w:tcPr>
            <w:tcW w:w="3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21,352,000</w:t>
            </w:r>
          </w:p>
        </w:tc>
      </w:tr>
      <w:tr>
        <w:trPr>
          <w:trHeight w:val="210"/>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BOK Financial Securities, Inc.</w:t>
            </w:r>
          </w:p>
        </w:tc>
        <w:tc>
          <w:tcPr>
            <w:tcW w:w="3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5,477,000</w:t>
            </w:r>
          </w:p>
        </w:tc>
        <w:tc>
          <w:tcPr>
            <w:tcW w:w="60" w:type="dxa"/>
            <w:vAlign w:val="bottom"/>
          </w:tcPr>
          <w:p>
            <w:pPr>
              <w:spacing w:after="0"/>
              <w:rPr>
                <w:sz w:val="18"/>
                <w:szCs w:val="18"/>
                <w:color w:val="auto"/>
              </w:rPr>
            </w:pPr>
          </w:p>
        </w:tc>
      </w:tr>
      <w:tr>
        <w:trPr>
          <w:trHeight w:val="203"/>
        </w:trPr>
        <w:tc>
          <w:tcPr>
            <w:tcW w:w="6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ind w:left="3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1,000,000,000</w:t>
            </w:r>
          </w:p>
        </w:tc>
      </w:tr>
      <w:tr>
        <w:trPr>
          <w:trHeight w:val="20"/>
        </w:trPr>
        <w:tc>
          <w:tcPr>
            <w:tcW w:w="8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notes being offered, if any are taken, other than the notes covered by the option described below unless and until this option is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AAG has agreed to indemnify the several underwriters against certain liabilities, including liabilities under the Securities Act.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Option to Purchase Additional Notes</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underwriters have an option to buy up to an additional $ 150.0 million in principal amount of notes from AAG solely to cover over-allotments. They may exercise that option, in whole or in part, for a period of 30 days from the date of this prospectus supplement. If any notes are purchased pursuant to this option, the underwriters will severally purchase notes in approximately the same proportion as set forth in the table above. Any notes issued or sold under the option will be issued and sold on the same terms and conditions as the other notes that are the subject of this offering.</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S-120</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Discounts and Commissions</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following table shows the per note and total public offering price and underwriting discounts, and proceeds before expenses to us with respect to this offering. These amounts are shown assuming both no exercise and full exercise of the underwriters’ option to purchase up to an additional $150.0 million aggregate principal amount of notes, solely to cover over-allotments.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5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Exercise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Price to public</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29.60</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29,600,000</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34,040,000</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American Airlines Group Inc.</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970.40</w:t>
            </w:r>
          </w:p>
        </w:tc>
        <w:tc>
          <w:tcPr>
            <w:tcW w:w="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970,400,000</w:t>
            </w:r>
          </w:p>
        </w:tc>
        <w:tc>
          <w:tcPr>
            <w:tcW w:w="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1,115,960,000</w:t>
            </w:r>
          </w:p>
        </w:tc>
      </w:tr>
    </w:tbl>
    <w:p>
      <w:pPr>
        <w:spacing w:after="0" w:line="215"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Any notes sold by the underwriters to certain dealers may be sold at a discount from the initial public offering price of up to 1.65% of the principal amount of notes. If all the notes are not sold at the initial offering price, the underwriters may change the offering price and the other selling terms. The offering of the notes by the underwriters is subject to receipt and acceptance and subject to the underwriters’ right to reject any order in whole or in part.</w:t>
      </w:r>
    </w:p>
    <w:p>
      <w:pPr>
        <w:spacing w:after="0" w:line="202"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AAG estimates that the total expenses of the offering, excluding underwriting discounts and commissions, will be approximately $1.0 million.</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 Sale of Similar Securities</w:t>
      </w:r>
    </w:p>
    <w:p>
      <w:pPr>
        <w:spacing w:after="0" w:line="234"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AAG and American have agreed with the underwriters, during the period beginning on the date hereof and continuing until the date 60 days after the date of this prospectus supplement, and subject to certain exceptions, not to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common stock or any securities convertible into or exercisable or exchangeable for common stock (other than any registration statement on Form S-8 or any successor forms thereto, or relating solely to any of the employee benefit plans of AAG and/or American), or publicly disclose the intention to undertake any of the foregoing, or (ii) enter into any swap or other agreement that transfers, in whole or in part, any of the economic consequences of ownership of the common stock or any such other securities or publicly disclose the intention to undertake any of the foregoing, whether any such transaction described in clause (i) or (ii) above is to be settled by delivery of common stock or such other securities, in cash or otherwise, without the prior written consent of the representatives.</w:t>
      </w:r>
    </w:p>
    <w:p>
      <w:pPr>
        <w:spacing w:after="0" w:line="20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Notwithstanding the foregoing, such limitations shall not apply to: (a) the convertible notes sold pursuant to this offering and any shares of common stock of AAG issued upon the conversion thereof; (b) any common stock of AAG to be offered and sold pursuant to the Concurrent Common Stock Offering; (c) any shares of common stock of AAG issued (or withheld) upon the exercise or conversion of any options, warrants or other securities or restricted stock units outstanding on the date of this prospectus supplement or other equity-based awards under existing equity compensation plans and incentive retention plans; (d) any options, restricted stock units or other equity-based awards granted under existing equity compensation plans and incentive retention plans; (e) any warrants of AAG issued to the United States government, the U.S. Department of the Treasury or any similar agency under the CARES Act, or any other similar government aid program (and any shares of common stock of AAG issued upon the exercise thereof) or (f) any of the actions described in the above paragraph</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S-121</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with respect to the issuance of up to 10% of outstanding shares of common stock of AAG (or any securities convertible into or exercisable or exchangeable for such shares) in connection with any acquisitions, strategic partnerships or other commercial relationships, provided that the recipient of any such issuances described clause (f) sign a lock-up agreement described below.</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Lock-Ups</w:t>
      </w:r>
    </w:p>
    <w:p>
      <w:pPr>
        <w:spacing w:after="0" w:line="23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All of the directors and executive officers of AAG have agreed that, during the period beginning on the date hereof and continuing until the date 60 days after the date of this prospectus supplement (the “Restricted Period”), and subject to limited exceptions, they will not</w:t>
      </w:r>
    </w:p>
    <w:p>
      <w:pPr>
        <w:spacing w:after="0" w:line="1" w:lineRule="exact"/>
        <w:rPr>
          <w:sz w:val="20"/>
          <w:szCs w:val="20"/>
          <w:color w:val="auto"/>
        </w:rPr>
      </w:pPr>
    </w:p>
    <w:p>
      <w:pPr>
        <w:ind w:left="120" w:hanging="4"/>
        <w:spacing w:after="0" w:line="236"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(b) enter into any hedging, swap or other agreement or transaction that transfers, in whole or in part, any of the economic consequences of ownership of the Lock-Up Securities, whether any such transaction described in clause (a) or (b) above is to be settled by delivery of Lock-Up Securities, in cash or otherwise, (c) make any demand for, or exercise any right with respect to, the registration of any Lock-Up Securities, or (d) publicly disclose the intention to do any of the foregoing, without the prior written consent of the representatives.</w:t>
      </w:r>
    </w:p>
    <w:p>
      <w:pPr>
        <w:spacing w:after="0" w:line="20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Notwithstanding the foregoing, such limitations shall not apply to: (a) any disposition of shares of common stock, any other class of the AAG’s capital stock, or other securities convertible into or exercisable or exchangeable for common stock by bona fide gift, by will or by intestacy; (b) transactions relating to shares of common stock or other securities convertible into or exercisable or exchangeable for common stock acquired in open market transactions after the completion of this offering (provided that no filing under Section 16(a) of the Exchange Act shall be required or shall be voluntarily made during the Restricted Period in connection with subsequent sales of common stock or other securities acquired in such open market transactions); (c) transfers of shares of common stock or any security convertible into or exercisable or exchangeable for common stock to partnerships or limited liability companies for the benefit of the immediate family of the undersigned and the partners and members of which are only the undersigned and the immediate family of the undersigned (“immediate family” shall mean any relationship by blood, current or former marriage or adoption, not more remote than first cousin) or to any trust for the direct or indirect benefit of the undersigned or the immediate family of the undersigned or to a trustor or beneficiary of such trust; (d) distributions of shares of common stock or any security convertible into or exercisable or exchangeable for common stock pursuant to a court or regulatory agency order, a qualified domestic order or in connection with a divorce settlement; (e) dispositions of shares of common stock or any security convertible into or exercisable or exchangeable for common stock to AAG to satisfy tax withholding or exercise price obligations in connection with the exercise of options to purchase common stock on a “cashless” or “net exercise” basis (provided that the net underlying shares issued thereunder shall be subject to the restrictions on transfer to AAG); (f) the establishment of a trading plan pursuant to Rule 10b5-1 under the Exchange Act for the transfer of shares of common stock or any security convertible into or exercisable or exchangeable for common stock (provided that such plan does not provide for the transfer of common stock or any security convertible into or exercisable or exchangeable for common stock during the Restricted Period and to the extent a public announcement or filing under the Exchange Act, if any, is required of or voluntarily made by or on behalf of the undersigned or AAG regarding the establishment of such plan, such announcement or filing shall include a statement to the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effect that no transfer of common stock may be made under such plan during the Restricted Period); (g) transfers of shares of common stock or any security convertible into or exercisable or exchangeable for common stock pursuant to a trading plan pursuant to Rule 10b5-1 under the Exchange Act that was in effect as of, and only shares scheduled for sale thereunder on, the date hereof; (h) the exercise or settlement of equity-based compensation awards of AAG granted under any stock incentive plan or stock purchase plan described (including through incorporation by reference) in this prospectus supplement, including the withholding or sale of shares to satisfy exercise price, tax withholding obligations or both (provided that the net underlying shares issued thereunder shall be subject to the restrictions on transfer to AAG, and provided further, that any public report or filing shall clearly indicate in footnotes the reason for such transfer and that no public filings or reports would be made voluntarily during the Restricted Period); and (i) transfers of shares of common stock, any other class of the AAG’s capital stock, or any security convertible into or exercisable or exchangeable for common stock pursuant to a bona fide third-party tender offer, merger, consolidation or other similar transaction made to all holders of the common stock involving a change of control of AAG approved by the Board of Directors of AAG.</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 Listing</w:t>
      </w:r>
    </w:p>
    <w:p>
      <w:pPr>
        <w:spacing w:after="0" w:line="234" w:lineRule="exact"/>
        <w:rPr>
          <w:sz w:val="20"/>
          <w:szCs w:val="20"/>
          <w:color w:val="auto"/>
        </w:rPr>
      </w:pPr>
    </w:p>
    <w:p>
      <w:pPr>
        <w:jc w:val="both"/>
        <w:ind w:left="120" w:right="380" w:firstLine="551"/>
        <w:spacing w:after="0" w:line="238" w:lineRule="auto"/>
        <w:rPr>
          <w:sz w:val="20"/>
          <w:szCs w:val="20"/>
          <w:color w:val="auto"/>
        </w:rPr>
      </w:pPr>
      <w:r>
        <w:rPr>
          <w:rFonts w:ascii="Arial" w:cs="Arial" w:eastAsia="Arial" w:hAnsi="Arial"/>
          <w:sz w:val="18"/>
          <w:szCs w:val="18"/>
          <w:color w:val="auto"/>
        </w:rPr>
        <w:t>The notes are a new issue of securities with no established trading market. AAG does not plan to list the notes on a securities exchange. AAG has been advised by the underwriters that they presently intend to make a market in the notes in a manner permitted under applicable securities laws. However, the underwriters are not obligated to do so. Any market-making activity, if initiated, may be discontinued at any time and without notice. No assurance can be given as to the liquidity of the trading market for the notes.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4"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the offering is in progress.</w:t>
      </w:r>
    </w:p>
    <w:p>
      <w:pPr>
        <w:spacing w:after="0" w:line="189"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203"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26"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any Member State of the European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Economic Area or the United Kingdom (each, a “Relevant State”). For these purposes, a retail investor means a person who is one (or more) of: (i) a retail client as defined in point (11) of Article 4(1) of Directive 2014/65/EU (as amended, “MiFID II”); (ii) a customer within the meaning of Directive 2016/97/EU (as amended), where that customer would not qualify as a professional client as defined in point (10) of Article 4(1) of MIFID II; or (iii) not a qualified investor as defined in Regulation 2017/1129 (EU) (as amended or superseded, the “Prospectus Regulation”). Consequently, no key information document required by Regulation (EU) No 1286/2014 (as amended, the “PRIIPs Regulation”) for offering or selling the notes or otherwise making them available to retail investors in a Relevant State has been prepared and therefore offering or selling the notes or otherwise making them available to any retail investor in a Relevant State may be unlawful under the PRIIPs Regulation. This prospectus supplement has been prepared on the basis that any offer of notes in any Relevant State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2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Solely for the purposes of the product governance requirements contained within: (a) EU Directive 2014/65/EU on Markets in Financial Instruments, as amended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(a “Manufacturer”) (for the purposes of the MiFID II Product Governance Requirements) may otherwise have with respect thereto, the notes have been subject to a product approval process, which has determined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(defined below)) in connection with the issue or sale of any notes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300" w:right="28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860"/>
        <w:spacing w:after="0" w:line="246" w:lineRule="auto"/>
        <w:rPr>
          <w:sz w:val="20"/>
          <w:szCs w:val="20"/>
          <w:color w:val="auto"/>
        </w:rPr>
      </w:pPr>
      <w:r>
        <w:rPr>
          <w:rFonts w:ascii="Arial" w:cs="Arial" w:eastAsia="Arial" w:hAnsi="Arial"/>
          <w:sz w:val="18"/>
          <w:szCs w:val="18"/>
          <w:color w:val="auto"/>
        </w:rPr>
        <w:t>amended, the “FSMA”)) received by it in connection with the issue or sale of the notes in circumstances in which Section 21(1) of the FSMA does not apply to AAG; and</w:t>
      </w:r>
    </w:p>
    <w:p>
      <w:pPr>
        <w:spacing w:after="0" w:line="102" w:lineRule="exact"/>
        <w:rPr>
          <w:sz w:val="20"/>
          <w:szCs w:val="20"/>
          <w:color w:val="auto"/>
        </w:rPr>
      </w:pPr>
    </w:p>
    <w:p>
      <w:pPr>
        <w:ind w:left="1300" w:right="160" w:hanging="644"/>
        <w:spacing w:after="0" w:line="246"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S-125</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institutional investor (as defined in Section 4A of the Securities and Futures Act, Chapter 289 of Singapore (the “SFA”)) under Section 274 of the SFA, (ii) to a relevant person (as defined in Section 275(2) of the SFA )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2"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w:t>
      </w:r>
    </w:p>
    <w:p>
      <w:pPr>
        <w:spacing w:after="0" w:line="3" w:lineRule="exact"/>
        <w:rPr>
          <w:sz w:val="20"/>
          <w:szCs w:val="20"/>
          <w:color w:val="auto"/>
        </w:rPr>
      </w:pPr>
    </w:p>
    <w:p>
      <w:pPr>
        <w:ind w:left="120" w:right="80" w:hanging="4"/>
        <w:spacing w:after="0" w:line="238" w:lineRule="auto"/>
        <w:tabs>
          <w:tab w:leader="none" w:pos="3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700" w:firstLine="551"/>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supplement and the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notes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w:t>
      </w:r>
    </w:p>
    <w:p>
      <w:pPr>
        <w:spacing w:after="0" w:line="20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w:t>
      </w:r>
    </w:p>
    <w:p>
      <w:pPr>
        <w:spacing w:after="0" w:line="20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The notes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 Neither this document nor any other offering or marketing material relating to the offering, the Company, the notes have been or will be filed with or approved by any Swiss regulatory authority. In particular, this document will not be filed with, and the offer of notes will not be supervised by, the Swiss Financial Market Supervisory Authority FINMA (FINMA), and the offer of notes has not been and will not be authorized under the Swiss Federal Act on Collective Investment Schemes (“CISA”). The investor protection afforded to acquirers of interests in collective investment schemes under the CISA does not extend to acquirers of notes.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shares. If you do not understand the contents of this prospectus supplement you should consult an authorized financial advisor.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S-127</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108"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 used in connection with any offer for subscription or sale of the shares to the public in France.</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Such</w:t>
        <w:tab/>
        <w:t>offers, sales and distributions will be made in France only:</w:t>
      </w:r>
    </w:p>
    <w:p>
      <w:pPr>
        <w:spacing w:after="0" w:line="99" w:lineRule="exact"/>
        <w:rPr>
          <w:sz w:val="20"/>
          <w:szCs w:val="20"/>
          <w:color w:val="auto"/>
        </w:rPr>
      </w:pPr>
    </w:p>
    <w:p>
      <w:pPr>
        <w:ind w:left="1300" w:right="280" w:hanging="644"/>
        <w:spacing w:after="0" w:line="250"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 -or-2° -or 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195"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ICBC Standard Bank Plc</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securities constituting part of its allotment solely outside the United States.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S-128</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7"/>
          <w:szCs w:val="17"/>
          <w:color w:val="auto"/>
        </w:rPr>
        <w:t>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90"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Certain of the underwriters are also acting as underwriters in the Concurrent Common Stock Offering and as initial purchasers in the Concurrent Senior Secured Notes Offering, for which they will receive customary discounts and commissions. In addition, certain of the underwriters or affiliates of the underwriters are expected to be lenders, and in some cases agents or managers for the lenders, under the Concurrent Term Loan Financing. Affiliates of certain of the underwriters are lenders under the Delayed Draw Term Loan Credit Facility and if the Concurrent Senior Secured Notes Offering and/or the Concurrent Term Loan Financing are consummated they are expected to receive a portion of the net proceeds therefrom. Furthermore, an affiliate of Citigroup Global Markets Inc. and Barclays Capital Inc. are each counterparties to certain agreements with American whereby they issue general purpose consumer and small business credit cards that are co-branded with American marks. In addition, certain of the underwriters are lenders under our revolving credit facilities.</w:t>
      </w:r>
    </w:p>
    <w:p>
      <w:pPr>
        <w:spacing w:after="0" w:line="194"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validity of the notes and the guarantee will be passed on for us by Latham &amp; Watkins LLP, New York, New York, and for the underwriters by Milbank LLP, New York, New York.</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consolidated financial statements of American Airlines Group Inc. and American Airlines, Inc. as of December 31, 2019 and 2018, and for each of the years in the three-year period ended December 31, 2019, and management’s assessment of the effectiveness of internal control over financial reporting as of December 31, 2019 have been incorporated by reference in this prospectus supplement in reliance upon the reports of KPMG LLP, independent registered public accounting firm, incorporated by reference herein, and upon the authority of said firm as experts in accounting and auditing. The audit report covering the December 31, 2019 financial statements refers to a change to the method of accounting for leases.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S-130</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supplement is part of a registration statement on Form S-3 that we filed with the Securities and Exchange Commission (the “SEC”) related to the securities to be offered. This prospectus supplement does not contain all of the information set forth in the registration statement and the exhibits and schedules thereto. Some items are omitted in accordance with the rules and regulations of the SEC. For further information with respect to us and the securities offered hereby, we refer you to the registration statement and the exhibits and schedules filed therewith. Statements contained in this prospectus supplement as to the contents of any contract, agreement or any other document referred to are summaries of the material terms of the respective contract, agreement or other document. With respect to each of these contracts, agreements or other documents filed as an exhibit to the registration statement, reference is made to the exhibits for a more complete description of the matter involved.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subject to the information requirements of the Exchange Act. In accordance with the Exchange Act, we file annual, quarterly and current reports, proxy statements and other information with the SEC. Our SEC filings are also available to the public from the SEC’s website at www.sec.gov. In addition, our filings are available from our website at www.aa.com. None of the information on our website constitutes a part of this prospectus supplement.</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“incorporating by reference” into this prospectus supplement certain information we file with the SEC,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statement so modified or superseded shall not be deemed, except as so modified or superseded, to constitute a part of this prospectus supplement. We incorporate by reference the documents listed below (other than information that we have furnished (rather than filed) on Form 8-K, which information is expressly not incorporated by reference herein):</w:t>
      </w:r>
    </w:p>
    <w:p>
      <w:pPr>
        <w:spacing w:after="0" w:line="108" w:lineRule="exact"/>
        <w:rPr>
          <w:sz w:val="20"/>
          <w:szCs w:val="20"/>
          <w:color w:val="auto"/>
        </w:rPr>
      </w:pPr>
    </w:p>
    <w:p>
      <w:pPr>
        <w:ind w:left="880" w:right="18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Annual Report of AAG and American on </w:t>
      </w:r>
      <w:hyperlink r:id="rId16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19, 2020;</w:t>
      </w:r>
    </w:p>
    <w:p>
      <w:pPr>
        <w:spacing w:after="0" w:line="102"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Quarterly Report of AAG and American on </w:t>
      </w:r>
      <w:hyperlink r:id="rId16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2020, filed with the SEC on April 30, 2020;</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Current Reports of AAG on Form 8-K filed with the SEC on </w:t>
      </w:r>
      <w:hyperlink r:id="rId164">
        <w:r>
          <w:rPr>
            <w:rFonts w:ascii="Arial" w:cs="Arial" w:eastAsia="Arial" w:hAnsi="Arial"/>
            <w:sz w:val="18"/>
            <w:szCs w:val="18"/>
            <w:u w:val="single" w:color="auto"/>
            <w:color w:val="0000EE"/>
          </w:rPr>
          <w:t>January 29,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5">
        <w:r>
          <w:rPr>
            <w:rFonts w:ascii="Arial" w:cs="Arial" w:eastAsia="Arial" w:hAnsi="Arial"/>
            <w:sz w:val="18"/>
            <w:szCs w:val="18"/>
            <w:u w:val="single" w:color="auto"/>
            <w:color w:val="0000EE"/>
          </w:rPr>
          <w:t>June 10,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right="40" w:hanging="224"/>
        <w:spacing w:after="0"/>
        <w:tabs>
          <w:tab w:leader="none" w:pos="880" w:val="left"/>
        </w:tabs>
        <w:numPr>
          <w:ilvl w:val="0"/>
          <w:numId w:val="92"/>
        </w:numPr>
        <w:rPr>
          <w:rFonts w:ascii="Arial" w:cs="Arial" w:eastAsia="Arial" w:hAnsi="Arial"/>
          <w:sz w:val="18"/>
          <w:szCs w:val="18"/>
          <w:color w:val="0000EE"/>
        </w:rPr>
      </w:pPr>
      <w:hyperlink r:id="rId166">
        <w:r>
          <w:rPr>
            <w:rFonts w:ascii="Arial" w:cs="Arial" w:eastAsia="Arial" w:hAnsi="Arial"/>
            <w:sz w:val="18"/>
            <w:szCs w:val="18"/>
            <w:u w:val="single" w:color="auto"/>
            <w:color w:val="auto"/>
          </w:rPr>
          <w:t xml:space="preserve">Current Reports of American on Form 8-K and 8-K/A filed with the SEC on </w:t>
        </w:r>
        <w:r>
          <w:rPr>
            <w:rFonts w:ascii="Arial" w:cs="Arial" w:eastAsia="Arial" w:hAnsi="Arial"/>
            <w:sz w:val="18"/>
            <w:szCs w:val="18"/>
            <w:u w:val="single" w:color="auto"/>
            <w:color w:val="0000EE"/>
          </w:rPr>
          <w:t>January 29,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February 20,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February 20,</w:t>
        </w:r>
      </w:hyperlink>
      <w:r>
        <w:rPr>
          <w:rFonts w:ascii="Arial" w:cs="Arial" w:eastAsia="Arial" w:hAnsi="Arial"/>
          <w:sz w:val="18"/>
          <w:szCs w:val="18"/>
          <w:u w:val="single" w:color="auto"/>
          <w:color w:val="auto"/>
        </w:rPr>
        <w:t xml:space="preserve"> </w:t>
      </w:r>
      <w:hyperlink r:id="rId166">
        <w:r>
          <w:rPr>
            <w:rFonts w:ascii="Arial" w:cs="Arial" w:eastAsia="Arial" w:hAnsi="Arial"/>
            <w:sz w:val="18"/>
            <w:szCs w:val="18"/>
            <w:u w:val="single" w:color="auto"/>
            <w:color w:val="0000EE"/>
          </w:rPr>
          <w:t>2020</w:t>
        </w:r>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w:hyperlink r:id="rId167">
        <w:r>
          <w:rPr>
            <w:rFonts w:ascii="Arial" w:cs="Arial" w:eastAsia="Arial" w:hAnsi="Arial"/>
            <w:sz w:val="18"/>
            <w:szCs w:val="18"/>
            <w:u w:val="single" w:color="auto"/>
            <w:color w:val="0000EE"/>
          </w:rPr>
          <w:t>February 26, 2020</w:t>
        </w:r>
      </w:hyperlink>
      <w:hyperlink r:id="rId16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68">
        <w:r>
          <w:rPr>
            <w:rFonts w:ascii="Arial" w:cs="Arial" w:eastAsia="Arial" w:hAnsi="Arial"/>
            <w:sz w:val="18"/>
            <w:szCs w:val="18"/>
            <w:u w:val="single" w:color="auto"/>
            <w:color w:val="0000EE"/>
          </w:rPr>
          <w:t>March 19, 2020</w:t>
        </w:r>
      </w:hyperlink>
      <w:hyperlink r:id="rId16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69">
        <w:r>
          <w:rPr>
            <w:rFonts w:ascii="Arial" w:cs="Arial" w:eastAsia="Arial" w:hAnsi="Arial"/>
            <w:sz w:val="18"/>
            <w:szCs w:val="18"/>
            <w:u w:val="single" w:color="auto"/>
            <w:color w:val="0000EE"/>
          </w:rPr>
          <w:t>March 25, 2020</w:t>
        </w:r>
      </w:hyperlink>
      <w:hyperlink r:id="rId16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70">
        <w:r>
          <w:rPr>
            <w:rFonts w:ascii="Arial" w:cs="Arial" w:eastAsia="Arial" w:hAnsi="Arial"/>
            <w:sz w:val="18"/>
            <w:szCs w:val="18"/>
            <w:u w:val="single" w:color="auto"/>
            <w:color w:val="0000EE"/>
          </w:rPr>
          <w:t>March 27, 2020</w:t>
        </w:r>
      </w:hyperlink>
      <w:hyperlink r:id="rId16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71">
        <w:r>
          <w:rPr>
            <w:rFonts w:ascii="Arial" w:cs="Arial" w:eastAsia="Arial" w:hAnsi="Arial"/>
            <w:sz w:val="18"/>
            <w:szCs w:val="18"/>
            <w:u w:val="single" w:color="auto"/>
            <w:color w:val="0000EE"/>
          </w:rPr>
          <w:t>April 1, 2020</w:t>
        </w:r>
      </w:hyperlink>
      <w:hyperlink r:id="rId166">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172">
        <w:r>
          <w:rPr>
            <w:rFonts w:ascii="Arial" w:cs="Arial" w:eastAsia="Arial" w:hAnsi="Arial"/>
            <w:sz w:val="18"/>
            <w:szCs w:val="18"/>
            <w:u w:val="single" w:color="auto"/>
            <w:color w:val="0000EE"/>
          </w:rPr>
          <w:t xml:space="preserve">April 15, 2020 </w:t>
        </w:r>
      </w:hyperlink>
      <w:hyperlink r:id="rId166">
        <w:r>
          <w:rPr>
            <w:rFonts w:ascii="Arial" w:cs="Arial" w:eastAsia="Arial" w:hAnsi="Arial"/>
            <w:sz w:val="18"/>
            <w:szCs w:val="18"/>
            <w:u w:val="single" w:color="auto"/>
            <w:color w:val="000000"/>
          </w:rPr>
          <w:t>and</w:t>
        </w:r>
        <w:r>
          <w:rPr>
            <w:rFonts w:ascii="Arial" w:cs="Arial" w:eastAsia="Arial" w:hAnsi="Arial"/>
            <w:sz w:val="18"/>
            <w:szCs w:val="18"/>
            <w:u w:val="single" w:color="auto"/>
            <w:color w:val="0000EE"/>
          </w:rPr>
          <w:t xml:space="preserve"> </w:t>
        </w:r>
      </w:hyperlink>
      <w:hyperlink r:id="rId173">
        <w:r>
          <w:rPr>
            <w:rFonts w:ascii="Arial" w:cs="Arial" w:eastAsia="Arial" w:hAnsi="Arial"/>
            <w:sz w:val="18"/>
            <w:szCs w:val="18"/>
            <w:u w:val="single" w:color="auto"/>
            <w:color w:val="0000EE"/>
          </w:rPr>
          <w:t>April 22, 2020</w:t>
        </w:r>
      </w:hyperlink>
      <w:hyperlink r:id="rId166">
        <w:r>
          <w:rPr>
            <w:rFonts w:ascii="Arial" w:cs="Arial" w:eastAsia="Arial" w:hAnsi="Arial"/>
            <w:sz w:val="18"/>
            <w:szCs w:val="18"/>
            <w:color w:val="000000"/>
          </w:rPr>
          <w:t>;</w:t>
        </w:r>
      </w:hyperlink>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08" w:lineRule="exact"/>
        <w:rPr>
          <w:rFonts w:ascii="Arial" w:cs="Arial" w:eastAsia="Arial" w:hAnsi="Arial"/>
          <w:sz w:val="18"/>
          <w:szCs w:val="18"/>
          <w:color w:val="0000EE"/>
        </w:rPr>
      </w:pPr>
    </w:p>
    <w:p>
      <w:pPr>
        <w:ind w:left="880" w:right="12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portions of AAG and American’s Definitive Proxy Statement on </w:t>
      </w:r>
      <w:hyperlink r:id="rId17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supplemented by the Definitive Additional Materials on Schedule 14A, filed with the SEC on April 28, 2020, that are incorporated by reference into Part III of its Annual Report on Form 10-K for the year ended December 31, 2019.</w:t>
      </w:r>
    </w:p>
    <w:p>
      <w:pPr>
        <w:spacing w:after="0" w:line="203" w:lineRule="exact"/>
        <w:rPr>
          <w:rFonts w:ascii="Arial" w:cs="Arial" w:eastAsia="Arial" w:hAnsi="Arial"/>
          <w:sz w:val="18"/>
          <w:szCs w:val="18"/>
          <w:color w:val="0000EE"/>
        </w:rPr>
      </w:pPr>
    </w:p>
    <w:p>
      <w:pPr>
        <w:ind w:left="120" w:right="180" w:firstLine="551"/>
        <w:spacing w:after="0" w:line="238" w:lineRule="auto"/>
        <w:rPr>
          <w:sz w:val="20"/>
          <w:szCs w:val="20"/>
          <w:color w:val="auto"/>
        </w:rPr>
      </w:pPr>
      <w:r>
        <w:rPr>
          <w:rFonts w:ascii="Arial" w:cs="Arial" w:eastAsia="Arial" w:hAnsi="Arial"/>
          <w:sz w:val="18"/>
          <w:szCs w:val="18"/>
          <w:color w:val="auto"/>
        </w:rPr>
        <w:t>All documents that we file pursuant to Section 13(a), 13(c), 14, or 15(d) of the Exchange Act on or subsequent to the date of this prospectus supplement, and, in all events, prior to the termination of this offering, shall be deemed to be incorporated by reference into this prospectus supplement and to be a part of this prospectus supplement from the respective dates of filing of such documents, except for information furnished under Item 2.02 and Item 7.01 of Form 8-K and related exhibits, which is not deemed filed and not incorporated by reference herein.</w:t>
      </w:r>
    </w:p>
    <w:p>
      <w:pPr>
        <w:spacing w:after="0" w:line="135"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S-131</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Investor Relations</w:t>
      </w:r>
    </w:p>
    <w:p>
      <w:pPr>
        <w:jc w:val="center"/>
        <w:ind w:right="-379"/>
        <w:spacing w:after="0" w:line="234" w:lineRule="auto"/>
        <w:rPr>
          <w:sz w:val="20"/>
          <w:szCs w:val="20"/>
          <w:color w:val="auto"/>
        </w:rPr>
      </w:pPr>
      <w:r>
        <w:rPr>
          <w:rFonts w:ascii="Arial" w:cs="Arial" w:eastAsia="Arial" w:hAnsi="Arial"/>
          <w:sz w:val="18"/>
          <w:szCs w:val="18"/>
          <w:color w:val="auto"/>
        </w:rPr>
        <w:t>1 Skyview Drive</w:t>
      </w:r>
    </w:p>
    <w:p>
      <w:pPr>
        <w:jc w:val="center"/>
        <w:ind w:right="-379"/>
        <w:spacing w:after="0" w:line="235" w:lineRule="auto"/>
        <w:rPr>
          <w:sz w:val="20"/>
          <w:szCs w:val="20"/>
          <w:color w:val="auto"/>
        </w:rPr>
      </w:pPr>
      <w:r>
        <w:rPr>
          <w:rFonts w:ascii="Arial" w:cs="Arial" w:eastAsia="Arial" w:hAnsi="Arial"/>
          <w:sz w:val="18"/>
          <w:szCs w:val="18"/>
          <w:color w:val="auto"/>
        </w:rPr>
        <w:t>Mail Drop 8B351</w:t>
      </w:r>
    </w:p>
    <w:p>
      <w:pPr>
        <w:jc w:val="center"/>
        <w:ind w:right="-379"/>
        <w:spacing w:after="0" w:line="235" w:lineRule="auto"/>
        <w:rPr>
          <w:sz w:val="20"/>
          <w:szCs w:val="20"/>
          <w:color w:val="auto"/>
        </w:rPr>
      </w:pPr>
      <w:r>
        <w:rPr>
          <w:rFonts w:ascii="Arial" w:cs="Arial" w:eastAsia="Arial" w:hAnsi="Arial"/>
          <w:sz w:val="18"/>
          <w:szCs w:val="18"/>
          <w:color w:val="auto"/>
        </w:rPr>
        <w:t>Fort Worth, Texas 76155</w:t>
      </w:r>
    </w:p>
    <w:p>
      <w:pPr>
        <w:jc w:val="center"/>
        <w:ind w:right="-379"/>
        <w:spacing w:after="0"/>
        <w:rPr>
          <w:sz w:val="20"/>
          <w:szCs w:val="20"/>
          <w:color w:val="auto"/>
        </w:rPr>
      </w:pPr>
      <w:r>
        <w:rPr>
          <w:rFonts w:ascii="Arial" w:cs="Arial" w:eastAsia="Arial" w:hAnsi="Arial"/>
          <w:sz w:val="18"/>
          <w:szCs w:val="18"/>
          <w:color w:val="auto"/>
        </w:rPr>
        <w:t>Tel: (817) 963-1234</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S-132</w:t>
      </w:r>
    </w:p>
    <w:p>
      <w:pPr>
        <w:sectPr>
          <w:pgSz w:w="11900" w:h="16838" w:orient="portrait"/>
          <w:cols w:equalWidth="0" w:num="1">
            <w:col w:w="10880"/>
          </w:cols>
          <w:pgMar w:left="320" w:top="459" w:right="6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334645</wp:posOffset>
            </wp:positionV>
            <wp:extent cx="2425700" cy="531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24257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AMERICAN AIRLINES GROUP INC.</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2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14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 AND ANY SIMILAR SECTION CONTAINED IN THE APPLICABLE PROSPECTUS SUPPLEMENT CONCERNING FACTORS YOU SHOULD CONSIDER BEFORE INVESTING IN OUR SECURITIES.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“AAL.”</w:t>
      </w:r>
    </w:p>
    <w:p>
      <w:pPr>
        <w:spacing w:after="0" w:line="221"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February 19, 2020.</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86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ABOUT THIS PROSPECTUS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WHERE YOU CAN FIND MORE INFORMATION; INCORPORATION BY REFERENCE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THE COMPANY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RISK FACTORS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USE OF PROCEEDS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DESCRIPTION OF CAPITAL STOCK</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DESCRIPTION OF DEBT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DESCRIPTION OF OTHER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GLOBAL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PLAN OF DISTRIBUTION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LEGAL MATTERS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6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EXPERTS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This prospectus is part of a registration statement that American Airlines Group Inc. and American Airlines, Inc. filed jointly with the U.S. Securities and Exchange Commission, or the SEC, each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 together with the additional information described under the heading “Where You Can Find More Information; Incorporation by Reference.”</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When we refer to “AAG,” “we,” “our,” “us” and the “Company” in this prospectus, we mean American Airlines Group Inc. and its consolidated subsidiaries, unless otherwise specified. When we refer to “AAI,” we mean American Airlines, Inc. When we refer to “you,” we mean the potential holders of the applicable series of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Each of AAG and AAI files reports, proxy statements and other information with the SEC as required under the Exchange Act. 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http://www.aa.com</w:t>
      </w:r>
      <w:r>
        <w:rPr>
          <w:rFonts w:ascii="Arial" w:cs="Arial" w:eastAsia="Arial" w:hAnsi="Arial"/>
          <w:sz w:val="18"/>
          <w:szCs w:val="18"/>
          <w:color w:val="auto"/>
        </w:rPr>
        <w:t>. The information on our website, however, is not, and should not be deemed to be, a part of this prospectus.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Annual Report of AAG and AAI on </w:t>
      </w:r>
      <w:hyperlink r:id="rId18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filed with the SEC on February 19, 2020;</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of AAG and AAI on Form 10-K from AAG’s Definitive Proxy Statement on </w:t>
      </w:r>
      <w:hyperlink r:id="rId185">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29,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Current Reports of AAG and AAI on </w:t>
      </w:r>
      <w:hyperlink r:id="rId164">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January 29, 2020;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of AAG contained in its registration statement on </w:t>
      </w:r>
      <w:hyperlink r:id="rId18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December 3, 2013, and any amendment or report filed with the SEC for the purpose of updating the description.</w:t>
      </w:r>
    </w:p>
    <w:p>
      <w:pPr>
        <w:spacing w:after="0" w:line="170" w:lineRule="exact"/>
        <w:rPr>
          <w:rFonts w:ascii="Arial" w:cs="Arial" w:eastAsia="Arial" w:hAnsi="Arial"/>
          <w:sz w:val="18"/>
          <w:szCs w:val="18"/>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For the avoidance of doubt, we are not incorporating by reference any documents or portions thereof, whether specifically listed above or filed in the future, that are not deemed</w:t>
      </w:r>
    </w:p>
    <w:p>
      <w:pPr>
        <w:spacing w:after="0" w:line="12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“filed” with the SEC, including our Compensation Committee Report and performance graph or any information furnished pursuant to Items 2.02 or 7.01 of Form 8-K or related exhibits furnished pursuant to Item 9.01 to Form 8-K.</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American Airlines Group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 Skyview Drive</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(817) 963-1234</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(“AAI”), Envoy Aviation Group Inc., PSA Airlines, Inc. and Piedmont Airlines, Inc. AAG was formed in 1982 under the name AMR Corporation as the parent company of AAI, which was founded in 1934.</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Our principal executive offices are located at 1 Skyview Drive, Fort Worth, Texas 76155. Our telephone number is (817) 963-1234, and our internet address is www.aa.com. Information contained on our and/or our subsidiaries’ websites is not and should not be deemed a part of this prospectus or any other report or filing filed with or furnished to the SEC.</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w:t>
      </w:r>
    </w:p>
    <w:p>
      <w:pPr>
        <w:ind w:left="120" w:right="40"/>
        <w:spacing w:after="0" w:line="253" w:lineRule="auto"/>
        <w:rPr>
          <w:sz w:val="20"/>
          <w:szCs w:val="20"/>
          <w:color w:val="auto"/>
        </w:rPr>
      </w:pPr>
      <w:r>
        <w:rPr>
          <w:rFonts w:ascii="Arial" w:cs="Arial" w:eastAsia="Arial" w:hAnsi="Arial"/>
          <w:sz w:val="18"/>
          <w:szCs w:val="18"/>
          <w:color w:val="auto"/>
        </w:rPr>
        <w:t>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description of AAG’s capital stock is not complete and may not contain all the information you should consider before investing in our capital stock. This description is summarized from, and qualified in its entirety by reference to, our certificate of incorporation and bylaws, which have been publicly filed with the SEC. See “Where You Can Find More Information; Incorporation by Reference.”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AAG’s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1.75 billion shares of common stock, $0.01 par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200 million shares of preferred stock, $0.01 par value.</w:t>
      </w:r>
    </w:p>
    <w:p>
      <w:pPr>
        <w:spacing w:after="0" w:line="329" w:lineRule="exact"/>
        <w:rPr>
          <w:sz w:val="20"/>
          <w:szCs w:val="20"/>
          <w:color w:val="auto"/>
        </w:rPr>
      </w:pPr>
    </w:p>
    <w:p>
      <w:pPr>
        <w:jc w:val="right"/>
        <w:ind w:right="9800"/>
        <w:spacing w:after="0"/>
        <w:rPr>
          <w:sz w:val="20"/>
          <w:szCs w:val="20"/>
          <w:color w:val="auto"/>
        </w:rPr>
      </w:pPr>
      <w:r>
        <w:rPr>
          <w:rFonts w:ascii="Arial" w:cs="Arial" w:eastAsia="Arial" w:hAnsi="Arial"/>
          <w:sz w:val="17"/>
          <w:szCs w:val="17"/>
          <w:b w:val="1"/>
          <w:bCs w:val="1"/>
          <w:color w:val="auto"/>
        </w:rPr>
        <w:t>Common Stock</w:t>
      </w:r>
    </w:p>
    <w:p>
      <w:pPr>
        <w:spacing w:after="0" w:line="133" w:lineRule="exact"/>
        <w:rPr>
          <w:sz w:val="20"/>
          <w:szCs w:val="20"/>
          <w:color w:val="auto"/>
        </w:rPr>
      </w:pPr>
    </w:p>
    <w:p>
      <w:pPr>
        <w:jc w:val="right"/>
        <w:ind w:right="98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Holders of AAG common stock are entitled to receive dividends or other distributions in cash, stock or property of AAG when, as and if declared on the common stock by AAG’s board of directors from time to time out of assets or funds of AAG legally available therefor, subject to the rights of holders of any outstanding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Holders of AAG common stock are entitled to one vote per share on all matters submitted to a vote of common stockholders, except that voting rights of non-U.S. citizens are limited as described below under “—Other Provisions Restricting Transfer and Ownership.” Holders of AAG common stock have no right to cumulate their votes.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event of any voluntary or involuntary liquidation, dissolution, or winding up of AAG, holders of AAG common stock are entitled to receive the assets and funds legally available for distribution in proportion to the number of shares held by them after payments to creditors and of preferential amounts, if any, to which any holders of AAG preferred stock may be entitled. If AAG has any preferred stock outstanding at such time, holders of the preferred stock may be entitled to distributions and/or liquidation preferences. In such case, AAG must pay the applicable distribution to holders of its preferred stock, if required pursuant to the terms of any such preferred stock, before it may pay distributions to holders of AAG common stock.</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the event of a merger or consolidation of AAG with or into another entity, the holders of AAG common stock are entitled to receive the same per share consideration on a per share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AAG’s common stock are not entitled to preemptive rights to purchase additional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AAG’s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AAG’s certificate of incorporation authorizes the issuance of up to 200 million shares of preferred stock from time to time, in one or more series, with such voting powers, full or limited, or without voting powers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with such designations, preferences, and relative, participating, optional, or other special rights, and qualifications, limitations, or restrictions thereof, as are stated and expressed in the resolution or resolutions providing for the issuance thereof adopted by AAG’s board of directors.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shares of AAG’s preferred stock are not entitled to preemptive rights to purchase additional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Provisions of AAG’s Certificate of Incorporation and Bylaws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Certain provisions of AAG’s certificate of incorporation and bylaws may have the effect of delaying or preventing a change in control if AAG’s board of directors determines such change in control is not in the best interests of AAG and its stockholders. These provisions include, among other things, the following:</w:t>
      </w:r>
    </w:p>
    <w:p>
      <w:pPr>
        <w:spacing w:after="0" w:line="89" w:lineRule="exact"/>
        <w:rPr>
          <w:sz w:val="20"/>
          <w:szCs w:val="20"/>
          <w:color w:val="auto"/>
        </w:rPr>
      </w:pPr>
    </w:p>
    <w:p>
      <w:pPr>
        <w:ind w:left="1080" w:right="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to authorize undesignated preferred stock with super voting, special approval, dividend, or other rights or preferences that could impede the success of any attempt to acquire AAG;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of AAG’s board of directors to fill vacancies on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prohibition against stockholders calling a special meeting of stockholders, except by written demand, delivered in compliance with the requirements of AAG’s bylaws, of stockholders holding at least 20% of the outstanding voting power of AAG’s shares;</w:t>
      </w:r>
    </w:p>
    <w:p>
      <w:pPr>
        <w:spacing w:after="0" w:line="51" w:lineRule="exact"/>
        <w:rPr>
          <w:rFonts w:ascii="Arial" w:cs="Arial" w:eastAsia="Arial" w:hAnsi="Arial"/>
          <w:sz w:val="17"/>
          <w:szCs w:val="17"/>
          <w:color w:val="auto"/>
        </w:rPr>
      </w:pPr>
    </w:p>
    <w:p>
      <w:pPr>
        <w:ind w:left="1080" w:right="6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restrictions on security ownership by persons who are not citizens of the U.S. (see the section entitled “—Other Provisions Restricting Transfer and Ownership” below);</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restrictions on transfer of securities by persons or groups holding 4.75% or more of AAG’s capital stock or transfers resulting in a new person or group holding 4.75% or more of AAG’s capital stock (see the section entitled “—Other Provisions Restricting Transfer and Ownership” below);</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requiring the approval of holders of at least 80% of the voting power of the shares entitled to vote in the election of directors to modify or amend the AAG bylaws;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the AAG certificate of incorporation.</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AAG is also subject to the provisions of Section 203 of the Delaware General Corporation Law. Under Section 203, we would generally be prohibited from engaging in any business combination with any interested stockholder for a period of three years following the time that such stockholder became an interested stockholder unless:</w:t>
      </w:r>
    </w:p>
    <w:p>
      <w:pPr>
        <w:spacing w:after="0" w:line="89" w:lineRule="exact"/>
        <w:rPr>
          <w:sz w:val="20"/>
          <w:szCs w:val="20"/>
          <w:color w:val="auto"/>
        </w:rPr>
      </w:pPr>
    </w:p>
    <w:p>
      <w:pPr>
        <w:ind w:left="1080" w:right="4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such stockholder becoming an interested stockholder;</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such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Section 203, a “business combination” includes:</w:t>
      </w:r>
    </w:p>
    <w:p>
      <w:pPr>
        <w:spacing w:after="0" w:line="131"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 Restricting Transfer and Ownership</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AAG certificate of incorporation and bylaws also impose certain restrictions on the transferability and ownership of AAG common stock, preferred stock, warrants, rights or options to purchase AAG common stock and certain other equity-type interests of AAG, which we refer to collectively as AAG Securities, in order to comply with U.S. law and related rules and regulations of the U.S. Department of Transportation, which we refer to as the DOT, and to reduce the possibility that subsequent changes in the ownership of AAG Securities could result in limitations on the use of the significant deductions in any year for net operating losses carried over from prior taxable years, and other valuable income tax attributes of AAG and its subsidiaries.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Subject to certain exceptions, or the prior approval of AAG’s board of directors, the AAG certificate of incorporation restricts any person or entity (including certain groups of persons) from directly or indirectly acquiring or accumulating AAG Securities if such person or entity would become a Substantial Stockholder, which the AAG certificate of incorporation defines generally as a person or entity with a percentage ownership of 4.75% or more of the outstanding capital stock of AAG or if such acquisition would increase the percentage stock ownership (as determined under applicable tax law principles) of a Substantial Stockholder. These restrictions may remain in effect until December 9, 2021 and may be waived by the board of directors of AAG on a case-by-case basis.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Ownership Limitations</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AAG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 (a) 24.9% of the aggregate votes of all of our outstanding equity securities or (b) 49.0% of our outstanding equity securities. The AAG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 In addition, any attempt to transfer AAG Securities to a non-U.S. person in excess of 49.0% of our outstanding equity securities will be void and of no effect and will not be recorded in our books and records.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description, together with the additional information we include in any prospectus supplement or free writing prospectus, as applicable, summarizes certain general terms and provisions of the debt securities that we may offer under this prospectus. When we offer to sell one or more particular series of debt securities, we will describe the specific terms of such series in a supplement to this prospectus. We will also indicate in the supplement to what extent the general terms and provisions described in this prospectus apply to a particular series of debt securities.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and guarantees, if any, may be our senior, senior subordinated or subordinated obligations and, unless otherwise specified in a supplement to this prospectus, the debt securities will be our direct, unsecured obligations and may be issued in one or more series. The debt securities issued by AAG may be fully and unconditionally guaranteed on a secured or unsecured, senior or subordinated basis by AAI or any of AAG’s other subsidiaries.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Wilmington Trust,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used in this section only, “AAG,” “we,” “our” or “us” refer to American Airlines Group Inc. excluding our subsidiaries, unless expressly stated or the context otherwise requires, and “AAI” refers to American Airlines, Inc. excluding its subsidiaries, unless expressly stated or the context otherwise requires.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accrual of interest will commence and be payable and any regular record date for the interest payable on any interest payment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6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if any, and interest on the debt securities will be made;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set forth in the indenture with respect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AAI or any of its other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i w:val="1"/>
          <w:iCs w:val="1"/>
          <w:color w:val="auto"/>
        </w:rPr>
        <w:t xml:space="preserve">Global Debt Securities and Book-Entry System. </w:t>
      </w:r>
      <w:r>
        <w:rPr>
          <w:rFonts w:ascii="Arial" w:cs="Arial" w:eastAsia="Arial" w:hAnsi="Arial"/>
          <w:sz w:val="17"/>
          <w:szCs w:val="17"/>
          <w:color w:val="auto"/>
        </w:rPr>
        <w:t>Each global debt security representing book-entry debt securities will be deposited with,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0" w:hanging="424"/>
        <w:spacing w:after="0" w:line="308"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AAG)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the above, any subsidiary of AAG may consolidate with, merge into or transfer all or part of its properties to AAG. (Section 5.1)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AAG;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may also modify and amend the indenture with the consent of the holders of at least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54"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a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unless otherwise provided by the terms of the applicable series of debt securities, we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424"/>
        <w:spacing w:after="0" w:line="273"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such debt securities; and</w:t>
      </w:r>
    </w:p>
    <w:p>
      <w:pPr>
        <w:spacing w:after="0" w:line="83"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the debt securities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rights, purchase contracts, units or guarantees issued by us that may be offered and sold pursuant to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Redemption proceeds, distributions and dividend payments, as applicable,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obtained, securities certificates are required to be printed and delivered to the holders of beneficial interests in the securities.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320" w:top="459" w:right="6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Unless we tell you otherwise in the applicable prospectus supplement, Latham &amp; Watkins LLP will pass upon certain legal matters relating to the issuance and sale of the securities offered hereby on behalf of AAG.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American Airlines Group Inc. (AAG) as of December 31, 2019 and 2018, and for each of the years in the three-year period ended December 31, 2019, and management’s assessment of the effectiveness of internal control over financial reporting as of December 31, 2019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2019 financial statements refers to a change to the method of accounting for leases.</w:t>
      </w:r>
    </w:p>
    <w:p>
      <w:pPr>
        <w:spacing w:after="0" w:line="176" w:lineRule="exact"/>
        <w:rPr>
          <w:sz w:val="20"/>
          <w:szCs w:val="20"/>
          <w:color w:val="auto"/>
        </w:rPr>
      </w:pPr>
    </w:p>
    <w:p>
      <w:pPr>
        <w:jc w:val="both"/>
        <w:ind w:left="120" w:right="400" w:firstLine="440"/>
        <w:spacing w:after="0" w:line="342" w:lineRule="auto"/>
        <w:rPr>
          <w:sz w:val="20"/>
          <w:szCs w:val="20"/>
          <w:color w:val="auto"/>
        </w:rPr>
      </w:pPr>
      <w:r>
        <w:rPr>
          <w:rFonts w:ascii="Arial" w:cs="Arial" w:eastAsia="Arial" w:hAnsi="Arial"/>
          <w:sz w:val="16"/>
          <w:szCs w:val="16"/>
          <w:color w:val="auto"/>
        </w:rPr>
        <w:t>To the extent that KPMG LLP audits and reports on financial statements of AAG issued at future dates, and consents to the use of its reports thereon, such financial statements also will be incorporated by reference in the registration statement in reliance upon its reports and said authority.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7626985</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7678420</wp:posOffset>
            </wp:positionV>
            <wp:extent cx="699516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3083560</wp:posOffset>
            </wp:positionV>
            <wp:extent cx="5031740" cy="10972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5031740" cy="109728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lvl w:ilvl="1">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3"/>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lowerRoman"/>
      <w:start w:val="1"/>
    </w:lvl>
  </w:abstractNum>
  <w:abstractNum w:abstractNumId="33">
    <w:nsid w:val="168E121F"/>
    <w:multiLevelType w:val="hybridMultilevel"/>
    <w:lvl w:ilvl="0">
      <w:lvlJc w:val="left"/>
      <w:lvlText w:val="(%1)"/>
      <w:numFmt w:val="lowerRoman"/>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decimal"/>
      <w:start w:val="2"/>
    </w:lvl>
  </w:abstractNum>
  <w:abstractNum w:abstractNumId="37">
    <w:nsid w:val="540A471C"/>
    <w:multiLevelType w:val="hybridMultilevel"/>
    <w:lvl w:ilvl="0">
      <w:lvlJc w:val="left"/>
      <w:lvlText w:val="X"/>
      <w:numFmt w:val="bullet"/>
      <w:start w:val="1"/>
    </w:lvl>
  </w:abstractNum>
  <w:abstractNum w:abstractNumId="38">
    <w:nsid w:val="7BD3EE7B"/>
    <w:multiLevelType w:val="hybridMultilevel"/>
    <w:lvl w:ilvl="0">
      <w:lvlJc w:val="left"/>
      <w:lvlText w:val="Y"/>
      <w:numFmt w:val="bullet"/>
      <w:start w:val="1"/>
    </w:lvl>
  </w:abstractNum>
  <w:abstractNum w:abstractNumId="39">
    <w:nsid w:val="51D9C56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lowerLetter"/>
      <w:start w:val="2"/>
    </w:lvl>
  </w:abstractNum>
  <w:abstractNum w:abstractNumId="42">
    <w:nsid w:val="11447B73"/>
    <w:multiLevelType w:val="hybridMultilevel"/>
    <w:lvl w:ilvl="0">
      <w:lvlJc w:val="left"/>
      <w:lvlText w:val="(%1)"/>
      <w:numFmt w:val="decimal"/>
      <w:start w:val="4"/>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D"/>
      <w:numFmt w:val="bullet"/>
      <w:start w:val="1"/>
    </w:lvl>
  </w:abstractNum>
  <w:abstractNum w:abstractNumId="45">
    <w:nsid w:val="8F2B15E"/>
    <w:multiLevelType w:val="hybridMultilevel"/>
    <w:lvl w:ilvl="0">
      <w:lvlJc w:val="left"/>
      <w:lvlText w:val="(%1)"/>
      <w:numFmt w:val="decimal"/>
      <w:start w:val="5"/>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lowerRoman"/>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2"/>
    </w:lvl>
    <w:lvl w:ilvl="1">
      <w:lvlJc w:val="left"/>
      <w:lvlText w:val="•"/>
      <w:numFmt w:val="bullet"/>
      <w:start w:val="1"/>
    </w:lvl>
  </w:abstractNum>
  <w:abstractNum w:abstractNumId="62">
    <w:nsid w:val="76272110"/>
    <w:multiLevelType w:val="hybridMultilevel"/>
    <w:lvl w:ilvl="0">
      <w:lvlJc w:val="left"/>
      <w:lvlText w:val="(%1)"/>
      <w:numFmt w:val="decimal"/>
      <w:start w:val="8"/>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lowerRoman"/>
      <w:start w:val="1"/>
    </w:lvl>
  </w:abstractNum>
  <w:abstractNum w:abstractNumId="69">
    <w:nsid w:val="2DF6D648"/>
    <w:multiLevelType w:val="hybridMultilevel"/>
    <w:lvl w:ilvl="0">
      <w:lvlJc w:val="left"/>
      <w:lvlText w:val="(%1)"/>
      <w:numFmt w:val="lowerRoman"/>
      <w:start w:val="2"/>
    </w:lvl>
  </w:abstractNum>
  <w:abstractNum w:abstractNumId="70">
    <w:nsid w:val="46B7D447"/>
    <w:multiLevelType w:val="hybridMultilevel"/>
    <w:lvl w:ilvl="0">
      <w:lvlJc w:val="left"/>
      <w:lvlText w:val="(%1)"/>
      <w:numFmt w:val="lowerRoman"/>
      <w:start w:val="1"/>
    </w:lvl>
  </w:abstractNum>
  <w:abstractNum w:abstractNumId="71">
    <w:nsid w:val="4A2AC315"/>
    <w:multiLevelType w:val="hybridMultilevel"/>
    <w:lvl w:ilvl="0">
      <w:lvlJc w:val="left"/>
      <w:lvlText w:val="(%1)"/>
      <w:numFmt w:val="lowerRoman"/>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1)"/>
      <w:numFmt w:val="lowerRoman"/>
      <w:start w:val="2"/>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2"/>
    </w:lvl>
  </w:abstractNum>
  <w:abstractNum w:abstractNumId="88">
    <w:nsid w:val="6A5F7029"/>
    <w:multiLevelType w:val="hybridMultilevel"/>
    <w:lvl w:ilvl="0">
      <w:lvlJc w:val="left"/>
      <w:lvlText w:val="(%1)"/>
      <w:numFmt w:val="decimal"/>
      <w:start w:val="2"/>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jpe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jpeg"/><Relationship Id="rId162" Type="http://schemas.openxmlformats.org/officeDocument/2006/relationships/hyperlink" Target="http://www.sec.gov/Archives/edgar/data/4515/000000620120000023/a10k123119.htm" TargetMode="External"/><Relationship Id="rId163" Type="http://schemas.openxmlformats.org/officeDocument/2006/relationships/hyperlink" Target="http://www.sec.gov/Archives/edgar/data/4515/000000620120000066/q1202010-q033120.htm" TargetMode="External"/><Relationship Id="rId164" Type="http://schemas.openxmlformats.org/officeDocument/2006/relationships/hyperlink" Target="http://www.sec.gov/Archives/edgar/data/4515/000000620120000014/a8k012920-lhrcreditagr.htm" TargetMode="External"/><Relationship Id="rId165" Type="http://schemas.openxmlformats.org/officeDocument/2006/relationships/hyperlink" Target="http://www.sec.gov/Archives/edgar/data/6201/000000620120000075/a8k0610202020annualmee.htm" TargetMode="External"/><Relationship Id="rId166" Type="http://schemas.openxmlformats.org/officeDocument/2006/relationships/hyperlink" Target="http://www.sec.gov/ix?doc=/Archives/edgar/data/4515/000000620120000028/a8k022020pricingofunse.htm" TargetMode="External"/><Relationship Id="rId167" Type="http://schemas.openxmlformats.org/officeDocument/2006/relationships/hyperlink" Target="http://www.sec.gov/ix?doc=/Archives/edgar/data/4515/000119312520050082/d894981d8k.htm" TargetMode="External"/><Relationship Id="rId168" Type="http://schemas.openxmlformats.org/officeDocument/2006/relationships/hyperlink" Target="http://www.sec.gov/ix?doc=/Archives/edgar/data/4515/000000620120000038/a8k031820-entryintonew.htm" TargetMode="External"/><Relationship Id="rId169" Type="http://schemas.openxmlformats.org/officeDocument/2006/relationships/hyperlink" Target="http://www.sec.gov/ix?doc=/Archives/edgar/data/4515/000000620120000043/a8-k032520borrowingfro.htm" TargetMode="External"/><Relationship Id="rId170" Type="http://schemas.openxmlformats.org/officeDocument/2006/relationships/hyperlink" Target="http://www.sec.gov/ix?doc=/Archives/edgar/data/4515/000000620120000049/a8k032720announcements.htm" TargetMode="External"/><Relationship Id="rId171" Type="http://schemas.openxmlformats.org/officeDocument/2006/relationships/hyperlink" Target="http://www.sec.gov/ix?doc=/Archives/edgar/data/4515/000000620120000051/a8k040120drawdownofrev.htm" TargetMode="External"/><Relationship Id="rId172" Type="http://schemas.openxmlformats.org/officeDocument/2006/relationships/hyperlink" Target="http://www.sec.gov/ix?doc=/Archives/edgar/data/4515/000000620120000059/a8k041420caresactterms.htm" TargetMode="External"/><Relationship Id="rId173" Type="http://schemas.openxmlformats.org/officeDocument/2006/relationships/hyperlink" Target="http://www.sec.gov/ix?doc=/Archives/edgar/data/4515/000119312520114148/d879155d8k.htm" TargetMode="External"/><Relationship Id="rId174" Type="http://schemas.openxmlformats.org/officeDocument/2006/relationships/hyperlink" Target="http://www.sec.gov/Archives/edgar/data/6201/000119312520123363/d826751ddef14a.htm" TargetMode="External"/><Relationship Id="rId184" Type="http://schemas.openxmlformats.org/officeDocument/2006/relationships/hyperlink" Target="http://www.sec.gov/ix?doc=/Archives/edgar/data/4515/000000620120000023/a10k123119.htm" TargetMode="External"/><Relationship Id="rId185" Type="http://schemas.openxmlformats.org/officeDocument/2006/relationships/hyperlink" Target="http://www.sec.gov/Archives/edgar/data/6201/000119312519125401/d672951ddef14a.htm" TargetMode="External"/><Relationship Id="rId186" Type="http://schemas.openxmlformats.org/officeDocument/2006/relationships/hyperlink" Target="http://www.sec.gov/Archives/edgar/data/6201/000119312513460503/d63733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2020-06-24T05:06:52Z</dcterms:created>
  <dcterms:modified xsi:type="dcterms:W3CDTF">2020-06-24T05:06:52Z</dcterms:modified>
</cp:coreProperties>
</file>